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42" w:rsidRPr="009C33CE" w:rsidRDefault="004E5842" w:rsidP="004E5842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КЛАССИЧЕСКАЯ СОНАТНАЯ ФОРМА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И.В.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 xml:space="preserve"> указывает: «Сонатной называется форма, основанная на противопоставлении 2 тем, которые при первом изложении контрастируют и тематически и тонально (1 тема в главной тональности, 2 тема в подчинённой), а после разработки повторяются обе в главной тональности, то есть тонально сближаются».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Зарождение формы относится к концу 17 - началу 18 века. Наиболее отчётливо её черты проявились в клавирных произведениях Доменико 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Скарлатти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>, окончательно установилась сонатная форма в классическом стиле у Гайдна и Моцарта, вершина - Бетховен.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 xml:space="preserve">Существует </w:t>
      </w:r>
      <w:r w:rsidRPr="009C33CE">
        <w:rPr>
          <w:rFonts w:ascii="Times New Roman" w:hAnsi="Times New Roman" w:cs="Times New Roman"/>
          <w:sz w:val="28"/>
          <w:szCs w:val="28"/>
          <w:u w:val="single"/>
        </w:rPr>
        <w:t>3 основы сонатной формы</w:t>
      </w:r>
      <w:r w:rsidRPr="00B06522">
        <w:rPr>
          <w:rFonts w:ascii="Times New Roman" w:hAnsi="Times New Roman" w:cs="Times New Roman"/>
          <w:sz w:val="28"/>
          <w:szCs w:val="28"/>
        </w:rPr>
        <w:t>, окончательно сложившиеся в эпоху венского классицизма: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Первая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исторически самая ранняя, основана на принципе тональных соотношений. Начальный раздел формы проходит дважды, в одной и той же главной тональности, а следующий раздел - так же изложен дважды, звучит первый раз в подчинённой тональности, а второй раз в главной.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sz w:val="28"/>
          <w:szCs w:val="28"/>
        </w:rPr>
        <w:t xml:space="preserve">Если без </w:t>
      </w:r>
      <w:r>
        <w:rPr>
          <w:rFonts w:ascii="Times New Roman" w:hAnsi="Times New Roman" w:cs="Times New Roman"/>
          <w:sz w:val="28"/>
          <w:szCs w:val="28"/>
        </w:rPr>
        <w:t>главной партии</w:t>
      </w:r>
      <w:r w:rsidRPr="00B06522">
        <w:rPr>
          <w:rFonts w:ascii="Times New Roman" w:hAnsi="Times New Roman" w:cs="Times New Roman"/>
          <w:sz w:val="28"/>
          <w:szCs w:val="28"/>
        </w:rPr>
        <w:t xml:space="preserve"> реприза может существовать, то без </w:t>
      </w:r>
      <w:r>
        <w:rPr>
          <w:rFonts w:ascii="Times New Roman" w:hAnsi="Times New Roman" w:cs="Times New Roman"/>
          <w:sz w:val="28"/>
          <w:szCs w:val="28"/>
        </w:rPr>
        <w:t>побочной</w:t>
      </w:r>
      <w:r w:rsidRPr="00B06522">
        <w:rPr>
          <w:rFonts w:ascii="Times New Roman" w:hAnsi="Times New Roman" w:cs="Times New Roman"/>
          <w:sz w:val="28"/>
          <w:szCs w:val="28"/>
        </w:rPr>
        <w:t xml:space="preserve"> форма лишается признаков </w:t>
      </w:r>
      <w:proofErr w:type="spellStart"/>
      <w:r w:rsidRPr="00B06522">
        <w:rPr>
          <w:rFonts w:ascii="Times New Roman" w:hAnsi="Times New Roman" w:cs="Times New Roman"/>
          <w:sz w:val="28"/>
          <w:szCs w:val="28"/>
        </w:rPr>
        <w:t>сонатности</w:t>
      </w:r>
      <w:proofErr w:type="spellEnd"/>
      <w:r w:rsidRPr="00B06522">
        <w:rPr>
          <w:rFonts w:ascii="Times New Roman" w:hAnsi="Times New Roman" w:cs="Times New Roman"/>
          <w:sz w:val="28"/>
          <w:szCs w:val="28"/>
        </w:rPr>
        <w:t>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Вторая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наличие минимум 2 равноправных тематических построений, излагаемых в </w:t>
      </w:r>
      <w:r>
        <w:rPr>
          <w:rFonts w:ascii="Times New Roman" w:hAnsi="Times New Roman" w:cs="Times New Roman"/>
          <w:sz w:val="28"/>
          <w:szCs w:val="28"/>
        </w:rPr>
        <w:t xml:space="preserve">главной </w:t>
      </w:r>
      <w:r w:rsidRPr="00B065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побочной</w:t>
      </w:r>
      <w:r w:rsidRPr="00B06522">
        <w:rPr>
          <w:rFonts w:ascii="Times New Roman" w:hAnsi="Times New Roman" w:cs="Times New Roman"/>
          <w:sz w:val="28"/>
          <w:szCs w:val="28"/>
        </w:rPr>
        <w:t xml:space="preserve"> партиях.</w:t>
      </w:r>
    </w:p>
    <w:p w:rsidR="004E5842" w:rsidRPr="00B0652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3CE">
        <w:rPr>
          <w:rFonts w:ascii="Times New Roman" w:hAnsi="Times New Roman" w:cs="Times New Roman"/>
          <w:sz w:val="28"/>
          <w:szCs w:val="28"/>
          <w:u w:val="single"/>
        </w:rPr>
        <w:t>Третья основа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- непрерывность сквозного тематического развития.</w:t>
      </w:r>
    </w:p>
    <w:p w:rsidR="004E5842" w:rsidRPr="009C33CE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522">
        <w:rPr>
          <w:rFonts w:ascii="Times New Roman" w:hAnsi="Times New Roman" w:cs="Times New Roman"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онатная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форма</w:t>
      </w:r>
      <w:r w:rsidRPr="00B06522">
        <w:rPr>
          <w:rFonts w:ascii="Times New Roman" w:hAnsi="Times New Roman" w:cs="Times New Roman"/>
          <w:sz w:val="28"/>
          <w:szCs w:val="28"/>
        </w:rPr>
        <w:t xml:space="preserve"> состоит из 3-х частей: </w:t>
      </w:r>
      <w:r w:rsidRPr="009C33CE">
        <w:rPr>
          <w:rFonts w:ascii="Times New Roman" w:hAnsi="Times New Roman" w:cs="Times New Roman"/>
          <w:b/>
          <w:sz w:val="28"/>
          <w:szCs w:val="28"/>
        </w:rPr>
        <w:t>экспозиции, разработки и репризы.</w:t>
      </w:r>
    </w:p>
    <w:p w:rsidR="004E5842" w:rsidRPr="009C33CE" w:rsidRDefault="004E5842" w:rsidP="004E5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3CE">
        <w:rPr>
          <w:rFonts w:ascii="Times New Roman" w:hAnsi="Times New Roman" w:cs="Times New Roman"/>
          <w:b/>
          <w:bCs/>
          <w:sz w:val="28"/>
          <w:szCs w:val="28"/>
        </w:rPr>
        <w:t>Экспозиция сонатной формы</w:t>
      </w:r>
    </w:p>
    <w:p w:rsidR="004E5842" w:rsidRPr="007E3D7F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Первая часть СФ посвящена изложению противопоставляемых тем и называется </w:t>
      </w:r>
      <w:r w:rsidRPr="009C33CE">
        <w:rPr>
          <w:rFonts w:ascii="Times New Roman" w:hAnsi="Times New Roman" w:cs="Times New Roman"/>
          <w:sz w:val="28"/>
          <w:szCs w:val="28"/>
          <w:u w:val="single"/>
        </w:rPr>
        <w:t>экспозицией</w:t>
      </w:r>
      <w:r w:rsidRPr="007E3D7F">
        <w:rPr>
          <w:rFonts w:ascii="Times New Roman" w:hAnsi="Times New Roman" w:cs="Times New Roman"/>
          <w:sz w:val="28"/>
          <w:szCs w:val="28"/>
        </w:rPr>
        <w:t xml:space="preserve">. Состоит из </w:t>
      </w:r>
      <w:r>
        <w:rPr>
          <w:rFonts w:ascii="Times New Roman" w:hAnsi="Times New Roman" w:cs="Times New Roman"/>
          <w:sz w:val="28"/>
          <w:szCs w:val="28"/>
        </w:rPr>
        <w:t>главной, связующей, побочной и заключительной партий.</w:t>
      </w:r>
    </w:p>
    <w:p w:rsidR="004E5842" w:rsidRPr="007E3D7F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Главная партия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– 1 часть </w:t>
      </w:r>
      <w:r>
        <w:rPr>
          <w:rFonts w:ascii="Times New Roman" w:hAnsi="Times New Roman" w:cs="Times New Roman"/>
          <w:sz w:val="28"/>
          <w:szCs w:val="28"/>
        </w:rPr>
        <w:t>экспозиции,</w:t>
      </w:r>
      <w:r w:rsidRPr="007E3D7F">
        <w:rPr>
          <w:rFonts w:ascii="Times New Roman" w:hAnsi="Times New Roman" w:cs="Times New Roman"/>
          <w:sz w:val="28"/>
          <w:szCs w:val="28"/>
        </w:rPr>
        <w:t xml:space="preserve"> изложение 1-й темы (или тем). С тематической стороны её основной характер определяется самым началом. </w:t>
      </w:r>
      <w:r w:rsidRPr="007E3D7F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Дальнейшее развитие её основано на мотивах начала. В таком случае </w:t>
      </w:r>
      <w:r>
        <w:rPr>
          <w:rFonts w:ascii="Times New Roman" w:hAnsi="Times New Roman" w:cs="Times New Roman"/>
          <w:sz w:val="28"/>
          <w:szCs w:val="28"/>
        </w:rPr>
        <w:t>главную партию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называют однородной.</w:t>
      </w:r>
    </w:p>
    <w:p w:rsidR="004E5842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Так, например, ГП 1-ой части </w:t>
      </w:r>
      <w:r>
        <w:rPr>
          <w:rFonts w:ascii="Times New Roman" w:hAnsi="Times New Roman" w:cs="Times New Roman"/>
          <w:sz w:val="28"/>
          <w:szCs w:val="28"/>
        </w:rPr>
        <w:t>сонаты</w:t>
      </w:r>
      <w:r w:rsidRPr="007E3D7F">
        <w:rPr>
          <w:rFonts w:ascii="Times New Roman" w:hAnsi="Times New Roman" w:cs="Times New Roman"/>
          <w:sz w:val="28"/>
          <w:szCs w:val="28"/>
        </w:rPr>
        <w:t xml:space="preserve"> №</w:t>
      </w:r>
      <w:r w:rsidR="00F7308C">
        <w:rPr>
          <w:rFonts w:ascii="Times New Roman" w:hAnsi="Times New Roman" w:cs="Times New Roman"/>
          <w:sz w:val="28"/>
          <w:szCs w:val="28"/>
        </w:rPr>
        <w:t>7</w:t>
      </w:r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фортепиано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08C">
        <w:rPr>
          <w:rFonts w:ascii="Times New Roman" w:hAnsi="Times New Roman" w:cs="Times New Roman"/>
          <w:sz w:val="28"/>
          <w:szCs w:val="28"/>
        </w:rPr>
        <w:t>Й.Гайдна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не содержит в себе контрастных элементов и является </w:t>
      </w:r>
      <w:r w:rsidRPr="00951984">
        <w:rPr>
          <w:rFonts w:ascii="Times New Roman" w:hAnsi="Times New Roman" w:cs="Times New Roman"/>
          <w:b/>
          <w:sz w:val="28"/>
          <w:szCs w:val="28"/>
        </w:rPr>
        <w:t>однородной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:rsidR="004E5842" w:rsidRPr="007E3D7F" w:rsidRDefault="00F7308C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0EF97" wp14:editId="307FA139">
            <wp:extent cx="5940425" cy="26092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842" w:rsidRDefault="004E5842" w:rsidP="004E584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Существуют и такие ГП, в которых вводится новый тематический элемент, контрастирующий с её началом. Такие ГП называются </w:t>
      </w:r>
      <w:r w:rsidRPr="00951984">
        <w:rPr>
          <w:rFonts w:ascii="Times New Roman" w:hAnsi="Times New Roman" w:cs="Times New Roman"/>
          <w:b/>
          <w:sz w:val="28"/>
          <w:szCs w:val="28"/>
        </w:rPr>
        <w:t>контрастными</w:t>
      </w:r>
      <w:r w:rsidRPr="007E3D7F">
        <w:rPr>
          <w:rFonts w:ascii="Times New Roman" w:hAnsi="Times New Roman" w:cs="Times New Roman"/>
          <w:sz w:val="28"/>
          <w:szCs w:val="28"/>
        </w:rPr>
        <w:t>.</w:t>
      </w:r>
    </w:p>
    <w:p w:rsidR="004E5842" w:rsidRDefault="004E5842" w:rsidP="004E58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 Примером </w:t>
      </w:r>
      <w:r>
        <w:rPr>
          <w:rFonts w:ascii="Times New Roman" w:hAnsi="Times New Roman" w:cs="Times New Roman"/>
          <w:sz w:val="28"/>
          <w:szCs w:val="28"/>
        </w:rPr>
        <w:t>контрастной</w:t>
      </w:r>
      <w:r w:rsidRPr="007E3D7F">
        <w:rPr>
          <w:rFonts w:ascii="Times New Roman" w:hAnsi="Times New Roman" w:cs="Times New Roman"/>
          <w:sz w:val="28"/>
          <w:szCs w:val="28"/>
        </w:rPr>
        <w:t xml:space="preserve"> ГП является ГП 1-й части </w:t>
      </w:r>
      <w:r w:rsidR="00872079">
        <w:rPr>
          <w:rFonts w:ascii="Times New Roman" w:hAnsi="Times New Roman" w:cs="Times New Roman"/>
          <w:sz w:val="28"/>
          <w:szCs w:val="28"/>
        </w:rPr>
        <w:t>14</w:t>
      </w:r>
      <w:r w:rsidRPr="007E3D7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E3D7F">
        <w:rPr>
          <w:rFonts w:ascii="Times New Roman" w:hAnsi="Times New Roman" w:cs="Times New Roman"/>
          <w:sz w:val="28"/>
          <w:szCs w:val="28"/>
        </w:rPr>
        <w:t>й  сонаты</w:t>
      </w:r>
      <w:proofErr w:type="gramEnd"/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r w:rsidR="0087207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72079" w:rsidRPr="00872079">
        <w:rPr>
          <w:rFonts w:ascii="Times New Roman" w:hAnsi="Times New Roman" w:cs="Times New Roman"/>
          <w:sz w:val="28"/>
          <w:szCs w:val="28"/>
        </w:rPr>
        <w:t>-</w:t>
      </w:r>
      <w:r w:rsidR="0087207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E3D7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для фортепиано </w:t>
      </w:r>
      <w:proofErr w:type="spellStart"/>
      <w:r w:rsidR="00872079" w:rsidRPr="00872079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Бетховена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содержит в себе два контрастных элемента.</w:t>
      </w:r>
    </w:p>
    <w:p w:rsidR="004E5842" w:rsidRDefault="00872079" w:rsidP="008720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7888" cy="3460115"/>
            <wp:effectExtent l="0" t="0" r="698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335" cy="346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Pr="007E3D7F" w:rsidRDefault="00872079" w:rsidP="008720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5842" w:rsidRPr="007E3D7F">
        <w:rPr>
          <w:rFonts w:ascii="Times New Roman" w:hAnsi="Times New Roman" w:cs="Times New Roman"/>
          <w:sz w:val="28"/>
          <w:szCs w:val="28"/>
        </w:rPr>
        <w:t>С гармонической стороны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E5842" w:rsidRPr="007E3D7F">
        <w:rPr>
          <w:rFonts w:ascii="Times New Roman" w:hAnsi="Times New Roman" w:cs="Times New Roman"/>
          <w:sz w:val="28"/>
          <w:szCs w:val="28"/>
        </w:rPr>
        <w:t xml:space="preserve"> </w:t>
      </w:r>
      <w:r w:rsidR="004E5842">
        <w:rPr>
          <w:rFonts w:ascii="Times New Roman" w:hAnsi="Times New Roman" w:cs="Times New Roman"/>
          <w:sz w:val="28"/>
          <w:szCs w:val="28"/>
        </w:rPr>
        <w:t>главная партия</w:t>
      </w:r>
      <w:r w:rsidR="004E5842" w:rsidRPr="007E3D7F">
        <w:rPr>
          <w:rFonts w:ascii="Times New Roman" w:hAnsi="Times New Roman" w:cs="Times New Roman"/>
          <w:sz w:val="28"/>
          <w:szCs w:val="28"/>
        </w:rPr>
        <w:t xml:space="preserve"> может быть замкнутой или разомкнутой.</w:t>
      </w:r>
    </w:p>
    <w:p w:rsidR="004E5842" w:rsidRDefault="004E5842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ab/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главная партия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1-й части </w:t>
      </w:r>
      <w:r w:rsidR="00064FFA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D7F">
        <w:rPr>
          <w:rFonts w:ascii="Times New Roman" w:hAnsi="Times New Roman" w:cs="Times New Roman"/>
          <w:sz w:val="28"/>
          <w:szCs w:val="28"/>
        </w:rPr>
        <w:t xml:space="preserve">сонаты </w:t>
      </w:r>
      <w:r w:rsidR="00064FFA">
        <w:rPr>
          <w:rFonts w:ascii="Times New Roman" w:hAnsi="Times New Roman" w:cs="Times New Roman"/>
          <w:sz w:val="28"/>
          <w:szCs w:val="28"/>
        </w:rPr>
        <w:t>Й.Гайдна</w:t>
      </w:r>
      <w:r w:rsidRPr="007E3D7F">
        <w:rPr>
          <w:rFonts w:ascii="Times New Roman" w:hAnsi="Times New Roman" w:cs="Times New Roman"/>
          <w:sz w:val="28"/>
          <w:szCs w:val="28"/>
        </w:rPr>
        <w:t xml:space="preserve"> завершается полным совершенным кадансом и является замкнутой.</w:t>
      </w:r>
    </w:p>
    <w:p w:rsidR="004E5842" w:rsidRPr="007E3D7F" w:rsidRDefault="00064FFA" w:rsidP="00064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60950" cy="3550784"/>
            <wp:effectExtent l="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038" cy="355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Pr="00166CE0" w:rsidRDefault="004E5842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партии, заканчивающиеся любым другим способом, называются разомкнутыми.</w:t>
      </w:r>
      <w:r w:rsidR="00166CE0">
        <w:rPr>
          <w:rFonts w:ascii="Times New Roman" w:hAnsi="Times New Roman" w:cs="Times New Roman"/>
          <w:sz w:val="28"/>
          <w:szCs w:val="28"/>
        </w:rPr>
        <w:t xml:space="preserve"> Главная партия сонаты №2 ми минор для фортепиано Й.Гайдна заканчивается на </w:t>
      </w:r>
      <w:r w:rsidR="00166CE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66CE0">
        <w:rPr>
          <w:rFonts w:ascii="Times New Roman" w:hAnsi="Times New Roman" w:cs="Times New Roman"/>
          <w:sz w:val="28"/>
          <w:szCs w:val="28"/>
        </w:rPr>
        <w:t>, несовершенным кадансом:</w:t>
      </w:r>
    </w:p>
    <w:p w:rsidR="00166CE0" w:rsidRDefault="00166CE0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842" w:rsidRDefault="00166CE0" w:rsidP="004E584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0622" cy="1257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280" cy="1257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842" w:rsidRDefault="004E5842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По строению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3AE">
        <w:rPr>
          <w:rFonts w:ascii="Times New Roman" w:hAnsi="Times New Roman" w:cs="Times New Roman"/>
          <w:sz w:val="28"/>
          <w:szCs w:val="28"/>
        </w:rPr>
        <w:t xml:space="preserve">главная, </w:t>
      </w:r>
      <w:r w:rsidR="003023AE" w:rsidRPr="007E3D7F">
        <w:rPr>
          <w:rFonts w:ascii="Times New Roman" w:hAnsi="Times New Roman" w:cs="Times New Roman"/>
          <w:sz w:val="28"/>
          <w:szCs w:val="28"/>
        </w:rPr>
        <w:t>чаще</w:t>
      </w:r>
      <w:r w:rsidRPr="007E3D7F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3824E5">
        <w:rPr>
          <w:rFonts w:ascii="Times New Roman" w:hAnsi="Times New Roman" w:cs="Times New Roman"/>
          <w:sz w:val="28"/>
          <w:szCs w:val="28"/>
        </w:rPr>
        <w:t>,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представляет собой период, </w:t>
      </w:r>
      <w:proofErr w:type="spellStart"/>
      <w:r w:rsidRPr="007E3D7F"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или модулирующий. </w:t>
      </w:r>
    </w:p>
    <w:p w:rsidR="003824E5" w:rsidRPr="007E3D7F" w:rsidRDefault="003824E5" w:rsidP="003824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4E5">
        <w:rPr>
          <w:rFonts w:ascii="Times New Roman" w:hAnsi="Times New Roman" w:cs="Times New Roman"/>
          <w:sz w:val="28"/>
          <w:szCs w:val="28"/>
          <w:u w:val="single"/>
        </w:rPr>
        <w:t>Связующей партией</w:t>
      </w:r>
      <w:r w:rsidRPr="007E3D7F">
        <w:rPr>
          <w:rFonts w:ascii="Times New Roman" w:hAnsi="Times New Roman" w:cs="Times New Roman"/>
          <w:sz w:val="28"/>
          <w:szCs w:val="28"/>
        </w:rPr>
        <w:t xml:space="preserve"> называется построение, расположенное между двумя основными партиями. Её основное назначение – связать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плавным переходом. Тематическое содержание </w:t>
      </w:r>
      <w:r>
        <w:rPr>
          <w:rFonts w:ascii="Times New Roman" w:hAnsi="Times New Roman" w:cs="Times New Roman"/>
          <w:sz w:val="28"/>
          <w:szCs w:val="28"/>
        </w:rPr>
        <w:t>связующей партии</w:t>
      </w:r>
      <w:r w:rsidRPr="007E3D7F">
        <w:rPr>
          <w:rFonts w:ascii="Times New Roman" w:hAnsi="Times New Roman" w:cs="Times New Roman"/>
          <w:sz w:val="28"/>
          <w:szCs w:val="28"/>
        </w:rPr>
        <w:t>:</w:t>
      </w:r>
    </w:p>
    <w:p w:rsidR="003824E5" w:rsidRDefault="003824E5" w:rsidP="00382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Связующая</w:t>
      </w:r>
      <w:r w:rsidRPr="007E3D7F">
        <w:rPr>
          <w:rFonts w:ascii="Times New Roman" w:hAnsi="Times New Roman" w:cs="Times New Roman"/>
          <w:sz w:val="28"/>
          <w:szCs w:val="28"/>
        </w:rPr>
        <w:t xml:space="preserve"> часто основана на тематическом материале </w:t>
      </w:r>
      <w:r>
        <w:rPr>
          <w:rFonts w:ascii="Times New Roman" w:hAnsi="Times New Roman" w:cs="Times New Roman"/>
          <w:sz w:val="28"/>
          <w:szCs w:val="28"/>
        </w:rPr>
        <w:t>главной</w:t>
      </w:r>
      <w:r w:rsidRPr="007E3D7F">
        <w:rPr>
          <w:rFonts w:ascii="Times New Roman" w:hAnsi="Times New Roman" w:cs="Times New Roman"/>
          <w:sz w:val="28"/>
          <w:szCs w:val="28"/>
        </w:rPr>
        <w:t xml:space="preserve">, являясь, как бы, </w:t>
      </w:r>
      <w:r>
        <w:rPr>
          <w:rFonts w:ascii="Times New Roman" w:hAnsi="Times New Roman" w:cs="Times New Roman"/>
          <w:sz w:val="28"/>
          <w:szCs w:val="28"/>
        </w:rPr>
        <w:t>вторым</w:t>
      </w:r>
      <w:r w:rsidRPr="007E3D7F">
        <w:rPr>
          <w:rFonts w:ascii="Times New Roman" w:hAnsi="Times New Roman" w:cs="Times New Roman"/>
          <w:sz w:val="28"/>
          <w:szCs w:val="28"/>
        </w:rPr>
        <w:t xml:space="preserve"> предложением разомкнутой </w:t>
      </w:r>
      <w:r>
        <w:rPr>
          <w:rFonts w:ascii="Times New Roman" w:hAnsi="Times New Roman" w:cs="Times New Roman"/>
          <w:sz w:val="28"/>
          <w:szCs w:val="28"/>
        </w:rPr>
        <w:t>ГП, как это происходит в связующей 1 части сонаты для фортепиано №8 В.А. Моцарта:</w:t>
      </w:r>
    </w:p>
    <w:p w:rsidR="00C45501" w:rsidRPr="007E3D7F" w:rsidRDefault="00C45501" w:rsidP="00C455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0900" cy="3624037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7" b="2900"/>
                    <a:stretch/>
                  </pic:blipFill>
                  <pic:spPr bwMode="auto">
                    <a:xfrm>
                      <a:off x="0" y="0"/>
                      <a:ext cx="4661310" cy="362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24E5" w:rsidRDefault="003824E5" w:rsidP="00C455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СП мо</w:t>
      </w:r>
      <w:r w:rsidR="00C45501">
        <w:rPr>
          <w:rFonts w:ascii="Times New Roman" w:hAnsi="Times New Roman" w:cs="Times New Roman"/>
          <w:sz w:val="28"/>
          <w:szCs w:val="28"/>
        </w:rPr>
        <w:t>жет быть основана на новой теме: В.А. Моцарт. Соната №1</w:t>
      </w:r>
      <w:r w:rsidR="00C1777B">
        <w:rPr>
          <w:rFonts w:ascii="Times New Roman" w:hAnsi="Times New Roman" w:cs="Times New Roman"/>
          <w:sz w:val="28"/>
          <w:szCs w:val="28"/>
        </w:rPr>
        <w:t>2.</w:t>
      </w:r>
    </w:p>
    <w:p w:rsidR="00C45501" w:rsidRDefault="00C1777B" w:rsidP="00C177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3156" cy="430212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995" cy="433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5" w:rsidRPr="007E3D7F" w:rsidRDefault="003824E5" w:rsidP="003824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>Также СП может представлять собой тематическую подготовку ПП в виде постепенного введения её отдельных интонаций.</w:t>
      </w:r>
    </w:p>
    <w:p w:rsidR="003824E5" w:rsidRPr="007E3D7F" w:rsidRDefault="003824E5" w:rsidP="003824E5">
      <w:pPr>
        <w:pStyle w:val="a3"/>
        <w:tabs>
          <w:tab w:val="left" w:pos="2460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К примеру, СП 1-й части </w:t>
      </w:r>
      <w:r w:rsidR="00B67531">
        <w:rPr>
          <w:rFonts w:ascii="Times New Roman" w:hAnsi="Times New Roman" w:cs="Times New Roman"/>
          <w:sz w:val="28"/>
          <w:szCs w:val="28"/>
        </w:rPr>
        <w:t>2-й сонаты для фортепиано</w:t>
      </w:r>
      <w:r w:rsidRPr="007E3D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531">
        <w:rPr>
          <w:rFonts w:ascii="Times New Roman" w:hAnsi="Times New Roman" w:cs="Times New Roman"/>
          <w:sz w:val="28"/>
          <w:szCs w:val="28"/>
        </w:rPr>
        <w:t>Л.Бетховена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построена на элементах ПП и тематически подготавливает её.</w:t>
      </w:r>
    </w:p>
    <w:p w:rsidR="00B67531" w:rsidRDefault="003824E5" w:rsidP="00382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67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7250" cy="36449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64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4E5" w:rsidRPr="007E3D7F" w:rsidRDefault="003824E5" w:rsidP="003824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D7F">
        <w:rPr>
          <w:rFonts w:ascii="Times New Roman" w:hAnsi="Times New Roman" w:cs="Times New Roman"/>
          <w:sz w:val="28"/>
          <w:szCs w:val="28"/>
        </w:rPr>
        <w:t xml:space="preserve">С гармонической стороны СП содержит модулирование в побочную тональность (тональность ПП). Строению СП свойственно </w:t>
      </w:r>
      <w:proofErr w:type="spellStart"/>
      <w:r w:rsidRPr="007E3D7F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7E3D7F">
        <w:rPr>
          <w:rFonts w:ascii="Times New Roman" w:hAnsi="Times New Roman" w:cs="Times New Roman"/>
          <w:sz w:val="28"/>
          <w:szCs w:val="28"/>
        </w:rPr>
        <w:t xml:space="preserve"> развитие, отсутствие четкой структуры.</w:t>
      </w:r>
    </w:p>
    <w:p w:rsidR="003824E5" w:rsidRDefault="003824E5" w:rsidP="003824E5"/>
    <w:p w:rsidR="003824E5" w:rsidRPr="007E3D7F" w:rsidRDefault="003824E5" w:rsidP="004E5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1E71" w:rsidRDefault="00761E71"/>
    <w:sectPr w:rsidR="00761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5444"/>
    <w:multiLevelType w:val="hybridMultilevel"/>
    <w:tmpl w:val="9B6050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42"/>
    <w:rsid w:val="00064FFA"/>
    <w:rsid w:val="00166CE0"/>
    <w:rsid w:val="003023AE"/>
    <w:rsid w:val="003824E5"/>
    <w:rsid w:val="004E5842"/>
    <w:rsid w:val="00761E71"/>
    <w:rsid w:val="00872079"/>
    <w:rsid w:val="00AD063D"/>
    <w:rsid w:val="00B67531"/>
    <w:rsid w:val="00C1777B"/>
    <w:rsid w:val="00C45501"/>
    <w:rsid w:val="00F7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295E-1723-4E5B-B221-7622D509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4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2020-11-26T19:24:00Z</dcterms:created>
  <dcterms:modified xsi:type="dcterms:W3CDTF">2020-11-26T19:24:00Z</dcterms:modified>
</cp:coreProperties>
</file>