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62" w:rsidRDefault="00471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 конспект  лекции</w:t>
      </w:r>
      <w:r w:rsidR="003F68BC">
        <w:rPr>
          <w:rFonts w:ascii="Times New Roman" w:hAnsi="Times New Roman" w:cs="Times New Roman"/>
          <w:sz w:val="28"/>
          <w:szCs w:val="28"/>
        </w:rPr>
        <w:t xml:space="preserve"> по дисциплине «Анализ музыкальных произведений» для студентов 4 курса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«Хоровое дирижирование».</w:t>
      </w:r>
    </w:p>
    <w:p w:rsidR="003F68BC" w:rsidRPr="00471D62" w:rsidRDefault="00E9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68BC" w:rsidRPr="00471D62">
        <w:rPr>
          <w:rFonts w:ascii="Times New Roman" w:hAnsi="Times New Roman" w:cs="Times New Roman"/>
          <w:b/>
          <w:sz w:val="28"/>
          <w:szCs w:val="28"/>
        </w:rPr>
        <w:t>Тема: «Особые случаи сонатной формы</w:t>
      </w:r>
      <w:r w:rsidR="00471D62" w:rsidRPr="00471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8D0">
        <w:rPr>
          <w:rFonts w:ascii="Times New Roman" w:hAnsi="Times New Roman" w:cs="Times New Roman"/>
          <w:b/>
          <w:sz w:val="28"/>
          <w:szCs w:val="28"/>
        </w:rPr>
        <w:t>«Сонатная  форма в концерте</w:t>
      </w:r>
      <w:r w:rsidR="00471D62" w:rsidRPr="00471D62">
        <w:rPr>
          <w:rFonts w:ascii="Times New Roman" w:hAnsi="Times New Roman" w:cs="Times New Roman"/>
          <w:b/>
          <w:sz w:val="28"/>
          <w:szCs w:val="28"/>
        </w:rPr>
        <w:t>».</w:t>
      </w:r>
    </w:p>
    <w:p w:rsidR="003F68BC" w:rsidRDefault="003F68BC" w:rsidP="003F6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8BC">
        <w:rPr>
          <w:rFonts w:ascii="Times New Roman" w:hAnsi="Times New Roman" w:cs="Times New Roman"/>
          <w:b/>
          <w:sz w:val="28"/>
          <w:szCs w:val="28"/>
        </w:rPr>
        <w:t>Типология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8BC" w:rsidRDefault="003F68BC" w:rsidP="003F68B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Особых случаев сонатной формы 3:</w:t>
      </w:r>
    </w:p>
    <w:p w:rsidR="003F68BC" w:rsidRDefault="003F68BC" w:rsidP="003F68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сонатная форма без разработки;</w:t>
      </w:r>
    </w:p>
    <w:p w:rsidR="003F68BC" w:rsidRDefault="003F68BC" w:rsidP="003F68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рондо-соната;</w:t>
      </w:r>
    </w:p>
    <w:p w:rsidR="003F68BC" w:rsidRDefault="003F68BC" w:rsidP="003F68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сонатная форма в концерте.</w:t>
      </w:r>
    </w:p>
    <w:p w:rsidR="00471D62" w:rsidRDefault="00471D62" w:rsidP="00471D6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960AA" w:rsidRPr="003960AA" w:rsidRDefault="003960AA" w:rsidP="003960AA">
      <w:pPr>
        <w:rPr>
          <w:rFonts w:ascii="Times New Roman" w:hAnsi="Times New Roman" w:cs="Times New Roman"/>
          <w:b/>
          <w:sz w:val="28"/>
          <w:szCs w:val="28"/>
        </w:rPr>
      </w:pPr>
    </w:p>
    <w:p w:rsidR="001D63F2" w:rsidRPr="001D63F2" w:rsidRDefault="003960AA" w:rsidP="00AB32E8">
      <w:pPr>
        <w:ind w:left="435"/>
        <w:rPr>
          <w:rFonts w:ascii="Times New Roman" w:hAnsi="Times New Roman" w:cs="Times New Roman"/>
          <w:b/>
          <w:sz w:val="28"/>
          <w:szCs w:val="28"/>
        </w:rPr>
      </w:pPr>
      <w:r w:rsidRPr="003960AA">
        <w:rPr>
          <w:rFonts w:ascii="Times New Roman" w:hAnsi="Times New Roman" w:cs="Times New Roman"/>
          <w:sz w:val="28"/>
          <w:szCs w:val="28"/>
        </w:rPr>
        <w:t xml:space="preserve">   </w:t>
      </w:r>
      <w:r w:rsidR="001D63F2" w:rsidRPr="001D63F2">
        <w:rPr>
          <w:rFonts w:ascii="Times New Roman" w:hAnsi="Times New Roman" w:cs="Times New Roman"/>
          <w:b/>
          <w:sz w:val="28"/>
          <w:szCs w:val="28"/>
        </w:rPr>
        <w:t>Сонатная форма в концерте.</w:t>
      </w:r>
    </w:p>
    <w:p w:rsidR="001D63F2" w:rsidRP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 xml:space="preserve">      Первая часть инструментального концерта </w:t>
      </w:r>
      <w:r w:rsidR="00BA2B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63F2">
        <w:rPr>
          <w:rFonts w:ascii="Times New Roman" w:hAnsi="Times New Roman" w:cs="Times New Roman"/>
          <w:sz w:val="28"/>
          <w:szCs w:val="28"/>
        </w:rPr>
        <w:t xml:space="preserve"> (классического и постклассического) имела 2 особенности.</w:t>
      </w:r>
    </w:p>
    <w:p w:rsidR="001D63F2" w:rsidRP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 xml:space="preserve">   Первая  особенность: особый тип экспозиции (2 разновидности):</w:t>
      </w:r>
    </w:p>
    <w:p w:rsidR="001D63F2" w:rsidRP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>Так называемая двойная экспозиция, существовавшая в ранних концертах (классический период, ранний романтизм). 1 –я экспозиция полностью исполняется оркестром, все темы звучат в основной тональности. Затем следовала 2-я экспозиция у солиста (при поддержке оркестра – фоном), где темы давались в обычном соотношении. Вторая экспозиция обычно начиналась  новой темой (новая ГТ), иногда использовался новый тематизм в ПТ..  Бетховен, 1 -й  и 2 -й фортепианные концерты, ч. 1.; Ф. Шопен Концерты №№ 1, 2.</w:t>
      </w:r>
    </w:p>
    <w:p w:rsidR="001D63F2" w:rsidRP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 xml:space="preserve">    Начиная с Ф. Мендельсона используется совместная экспозиция, подразумеваемая принцип диалогического развития. Такие экспозиции встречаются в концертах Мендельсона, Чайковского, Рахманинова, Грига и  др.</w:t>
      </w:r>
    </w:p>
    <w:p w:rsidR="001D63F2" w:rsidRP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 xml:space="preserve">    Вторая  особенность – наличие каденции.</w:t>
      </w:r>
    </w:p>
    <w:p w:rsidR="001D63F2" w:rsidRP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 xml:space="preserve">   Каденция  -  это виртуозное соло, которое обычно помещается перед кодой или перед репризой. (Рахманинов – концерт №3 , 1 часть – каденция  представляет собой динамическую репризу у солиста).</w:t>
      </w:r>
    </w:p>
    <w:p w:rsid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 xml:space="preserve"> С течением времени функция каденции менялась, в ранних концертах она не выписывалась. А импровизировалась солистом. Но</w:t>
      </w:r>
      <w:r w:rsidR="00AB32E8">
        <w:rPr>
          <w:rFonts w:ascii="Times New Roman" w:hAnsi="Times New Roman" w:cs="Times New Roman"/>
          <w:sz w:val="28"/>
          <w:szCs w:val="28"/>
        </w:rPr>
        <w:t>,</w:t>
      </w:r>
      <w:r w:rsidRPr="001D63F2">
        <w:rPr>
          <w:rFonts w:ascii="Times New Roman" w:hAnsi="Times New Roman" w:cs="Times New Roman"/>
          <w:sz w:val="28"/>
          <w:szCs w:val="28"/>
        </w:rPr>
        <w:t xml:space="preserve"> начиная с Бетховена</w:t>
      </w:r>
      <w:r w:rsidR="00AB32E8">
        <w:rPr>
          <w:rFonts w:ascii="Times New Roman" w:hAnsi="Times New Roman" w:cs="Times New Roman"/>
          <w:sz w:val="28"/>
          <w:szCs w:val="28"/>
        </w:rPr>
        <w:t>,</w:t>
      </w:r>
      <w:r w:rsidRPr="001D63F2">
        <w:rPr>
          <w:rFonts w:ascii="Times New Roman" w:hAnsi="Times New Roman" w:cs="Times New Roman"/>
          <w:sz w:val="28"/>
          <w:szCs w:val="28"/>
        </w:rPr>
        <w:t xml:space="preserve"> ее начинают выписывать и она становится органической частью концерта. Помещалась она обычно после  </w:t>
      </w:r>
      <w:r w:rsidRPr="001D63F2">
        <w:rPr>
          <w:rFonts w:ascii="Times New Roman" w:hAnsi="Times New Roman" w:cs="Times New Roman"/>
          <w:sz w:val="28"/>
          <w:szCs w:val="28"/>
          <w:lang w:val="en-US"/>
        </w:rPr>
        <w:t>Tutti</w:t>
      </w:r>
      <w:r w:rsidRPr="001D63F2">
        <w:rPr>
          <w:rFonts w:ascii="Times New Roman" w:hAnsi="Times New Roman" w:cs="Times New Roman"/>
          <w:sz w:val="28"/>
          <w:szCs w:val="28"/>
        </w:rPr>
        <w:t xml:space="preserve"> оркестра, которое заканчивалось К 6/4. </w:t>
      </w:r>
      <w:r w:rsidRPr="001D63F2">
        <w:rPr>
          <w:rFonts w:ascii="Times New Roman" w:hAnsi="Times New Roman" w:cs="Times New Roman"/>
          <w:sz w:val="28"/>
          <w:szCs w:val="28"/>
        </w:rPr>
        <w:lastRenderedPageBreak/>
        <w:t xml:space="preserve">Сама же каденция завершалась </w:t>
      </w:r>
      <w:r w:rsidRPr="001D63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3F2">
        <w:rPr>
          <w:rFonts w:ascii="Times New Roman" w:hAnsi="Times New Roman" w:cs="Times New Roman"/>
          <w:sz w:val="28"/>
          <w:szCs w:val="28"/>
        </w:rPr>
        <w:t>7 и «разрешалась» в Т.  Таким образом</w:t>
      </w:r>
      <w:r w:rsidR="00AB32E8">
        <w:rPr>
          <w:rFonts w:ascii="Times New Roman" w:hAnsi="Times New Roman" w:cs="Times New Roman"/>
          <w:sz w:val="28"/>
          <w:szCs w:val="28"/>
        </w:rPr>
        <w:t>, о</w:t>
      </w:r>
      <w:r w:rsidRPr="001D63F2">
        <w:rPr>
          <w:rFonts w:ascii="Times New Roman" w:hAnsi="Times New Roman" w:cs="Times New Roman"/>
          <w:sz w:val="28"/>
          <w:szCs w:val="28"/>
        </w:rPr>
        <w:t xml:space="preserve">бразовывался так называемый кадансовый оборот на расстоянии. </w:t>
      </w:r>
    </w:p>
    <w:p w:rsidR="001D63F2" w:rsidRPr="001D63F2" w:rsidRDefault="001D63F2" w:rsidP="001D63F2">
      <w:pPr>
        <w:rPr>
          <w:rFonts w:ascii="Times New Roman" w:hAnsi="Times New Roman" w:cs="Times New Roman"/>
          <w:sz w:val="28"/>
          <w:szCs w:val="28"/>
        </w:rPr>
      </w:pPr>
      <w:r w:rsidRPr="001D63F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1D63F2">
        <w:rPr>
          <w:rFonts w:ascii="Times New Roman" w:hAnsi="Times New Roman" w:cs="Times New Roman"/>
          <w:sz w:val="28"/>
          <w:szCs w:val="28"/>
        </w:rPr>
        <w:t xml:space="preserve"> Мендельсона каденция помещалась в конце разработки.</w:t>
      </w:r>
    </w:p>
    <w:p w:rsidR="00A31E12" w:rsidRPr="00A31E12" w:rsidRDefault="00A31E12" w:rsidP="00A31E12">
      <w:pPr>
        <w:rPr>
          <w:rFonts w:ascii="Times New Roman" w:hAnsi="Times New Roman" w:cs="Times New Roman"/>
          <w:sz w:val="28"/>
          <w:szCs w:val="28"/>
        </w:rPr>
      </w:pPr>
    </w:p>
    <w:p w:rsidR="006D6A48" w:rsidRDefault="006D6A48" w:rsidP="006D6A48">
      <w:pPr>
        <w:pStyle w:val="a3"/>
        <w:ind w:left="795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="00250882">
        <w:rPr>
          <w:rFonts w:ascii="Times New Roman" w:hAnsi="Times New Roman" w:cs="Times New Roman"/>
          <w:sz w:val="28"/>
          <w:szCs w:val="28"/>
        </w:rPr>
        <w:t xml:space="preserve">1) Работа с </w:t>
      </w:r>
      <w:r w:rsidR="001D63F2">
        <w:rPr>
          <w:rFonts w:ascii="Times New Roman" w:hAnsi="Times New Roman" w:cs="Times New Roman"/>
          <w:sz w:val="28"/>
          <w:szCs w:val="28"/>
        </w:rPr>
        <w:t>материалом</w:t>
      </w:r>
      <w:r w:rsidR="00250882">
        <w:rPr>
          <w:rFonts w:ascii="Times New Roman" w:hAnsi="Times New Roman" w:cs="Times New Roman"/>
          <w:sz w:val="28"/>
          <w:szCs w:val="28"/>
        </w:rPr>
        <w:t>.</w:t>
      </w:r>
    </w:p>
    <w:p w:rsidR="00250882" w:rsidRDefault="00250882" w:rsidP="006D6A48">
      <w:pPr>
        <w:pStyle w:val="a3"/>
        <w:ind w:left="795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Целостный анализ  </w:t>
      </w:r>
      <w:r w:rsidR="001809F4">
        <w:rPr>
          <w:rFonts w:ascii="Times New Roman" w:hAnsi="Times New Roman" w:cs="Times New Roman"/>
          <w:sz w:val="28"/>
          <w:szCs w:val="28"/>
        </w:rPr>
        <w:t>одного из образца</w:t>
      </w:r>
      <w:r w:rsidR="001D63F2">
        <w:rPr>
          <w:rFonts w:ascii="Times New Roman" w:hAnsi="Times New Roman" w:cs="Times New Roman"/>
          <w:sz w:val="28"/>
          <w:szCs w:val="28"/>
        </w:rPr>
        <w:t xml:space="preserve"> 1 части инструментального концерта классического или романтического периода</w:t>
      </w:r>
      <w:r w:rsidR="001809F4">
        <w:rPr>
          <w:rFonts w:ascii="Times New Roman" w:hAnsi="Times New Roman" w:cs="Times New Roman"/>
          <w:sz w:val="28"/>
          <w:szCs w:val="28"/>
        </w:rPr>
        <w:t>.</w:t>
      </w:r>
    </w:p>
    <w:p w:rsidR="0027658A" w:rsidRDefault="0027658A" w:rsidP="0027658A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9E5B61" w:rsidRPr="009E5B61" w:rsidRDefault="009E5B61" w:rsidP="009E5B61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9E5B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5B61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9E5B61" w:rsidRPr="009E5B61" w:rsidRDefault="009E5B61" w:rsidP="009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B61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9E5B61" w:rsidRPr="009E5B61" w:rsidRDefault="009E5B61" w:rsidP="009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B61">
        <w:rPr>
          <w:rFonts w:ascii="Times New Roman" w:hAnsi="Times New Roman" w:cs="Times New Roman"/>
          <w:sz w:val="28"/>
          <w:szCs w:val="28"/>
        </w:rPr>
        <w:t xml:space="preserve">Жанр (по исполнительским средствам: инструментальный, вокальный, смешанный, сольный, ансамблевый, оркестровый, хоровой и т.д., жанровая основа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9E5B61">
        <w:rPr>
          <w:rFonts w:ascii="Times New Roman" w:hAnsi="Times New Roman" w:cs="Times New Roman"/>
          <w:sz w:val="28"/>
          <w:szCs w:val="28"/>
        </w:rPr>
        <w:t>).</w:t>
      </w:r>
    </w:p>
    <w:p w:rsidR="009E5B61" w:rsidRPr="009E5B61" w:rsidRDefault="003960AA" w:rsidP="009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сонатной формы (особый случай сонатной формы)</w:t>
      </w:r>
    </w:p>
    <w:p w:rsidR="009E5B61" w:rsidRDefault="009E5B61" w:rsidP="009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B61">
        <w:rPr>
          <w:rFonts w:ascii="Times New Roman" w:hAnsi="Times New Roman" w:cs="Times New Roman"/>
          <w:sz w:val="28"/>
          <w:szCs w:val="28"/>
        </w:rPr>
        <w:t xml:space="preserve">Особенности данной </w:t>
      </w:r>
      <w:r>
        <w:rPr>
          <w:rFonts w:ascii="Times New Roman" w:hAnsi="Times New Roman" w:cs="Times New Roman"/>
          <w:sz w:val="28"/>
          <w:szCs w:val="28"/>
        </w:rPr>
        <w:t xml:space="preserve">сонатной </w:t>
      </w:r>
      <w:r w:rsidRPr="009E5B61">
        <w:rPr>
          <w:rFonts w:ascii="Times New Roman" w:hAnsi="Times New Roman" w:cs="Times New Roman"/>
          <w:sz w:val="28"/>
          <w:szCs w:val="28"/>
        </w:rPr>
        <w:t>формы (</w:t>
      </w:r>
      <w:r w:rsidR="00AB32E8">
        <w:rPr>
          <w:rFonts w:ascii="Times New Roman" w:hAnsi="Times New Roman" w:cs="Times New Roman"/>
          <w:sz w:val="28"/>
          <w:szCs w:val="28"/>
        </w:rPr>
        <w:t xml:space="preserve">тип экспозиции, </w:t>
      </w:r>
      <w:r w:rsidRPr="009E5B61">
        <w:rPr>
          <w:rFonts w:ascii="Times New Roman" w:hAnsi="Times New Roman" w:cs="Times New Roman"/>
          <w:sz w:val="28"/>
          <w:szCs w:val="28"/>
        </w:rPr>
        <w:t xml:space="preserve">структура тем, характер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репризе</w:t>
      </w:r>
      <w:r w:rsidR="00AB32E8">
        <w:rPr>
          <w:rFonts w:ascii="Times New Roman" w:hAnsi="Times New Roman" w:cs="Times New Roman"/>
          <w:sz w:val="28"/>
          <w:szCs w:val="28"/>
        </w:rPr>
        <w:t>, наличие и местоположение каденции</w:t>
      </w:r>
      <w:r w:rsidRPr="009E5B61">
        <w:rPr>
          <w:rFonts w:ascii="Times New Roman" w:hAnsi="Times New Roman" w:cs="Times New Roman"/>
          <w:sz w:val="28"/>
          <w:szCs w:val="28"/>
        </w:rPr>
        <w:t>).</w:t>
      </w:r>
    </w:p>
    <w:p w:rsidR="00437BD0" w:rsidRPr="009E5B61" w:rsidRDefault="00437BD0" w:rsidP="009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Тональный план произведения.</w:t>
      </w:r>
    </w:p>
    <w:p w:rsidR="009E5B61" w:rsidRPr="009E5B61" w:rsidRDefault="009E5B61" w:rsidP="009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B61">
        <w:rPr>
          <w:rFonts w:ascii="Times New Roman" w:hAnsi="Times New Roman" w:cs="Times New Roman"/>
          <w:sz w:val="28"/>
          <w:szCs w:val="28"/>
        </w:rPr>
        <w:t>Драматургическая форма</w:t>
      </w:r>
      <w:r w:rsidR="00751DE5">
        <w:rPr>
          <w:rFonts w:ascii="Times New Roman" w:hAnsi="Times New Roman" w:cs="Times New Roman"/>
          <w:sz w:val="28"/>
          <w:szCs w:val="28"/>
        </w:rPr>
        <w:t xml:space="preserve"> (тип драматургии, тип симфонизма)</w:t>
      </w:r>
      <w:r w:rsidRPr="009E5B61">
        <w:rPr>
          <w:rFonts w:ascii="Times New Roman" w:hAnsi="Times New Roman" w:cs="Times New Roman"/>
          <w:sz w:val="28"/>
          <w:szCs w:val="28"/>
        </w:rPr>
        <w:t>. Решение кульминации. Выразительные средства в создании образа.</w:t>
      </w:r>
    </w:p>
    <w:p w:rsidR="009E5B61" w:rsidRPr="009E5B61" w:rsidRDefault="009E5B61" w:rsidP="009E5B6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27658A" w:rsidRPr="005E4537" w:rsidRDefault="0027658A" w:rsidP="005E453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CB29E8" w:rsidRPr="005E4537" w:rsidRDefault="00CB29E8" w:rsidP="005E453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8C47C1" w:rsidRDefault="008C47C1" w:rsidP="002D5CF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5E4537" w:rsidRPr="005E4537" w:rsidRDefault="005E453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sectPr w:rsidR="005E4537" w:rsidRPr="005E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4D6E"/>
    <w:multiLevelType w:val="hybridMultilevel"/>
    <w:tmpl w:val="35848BA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424A6535"/>
    <w:multiLevelType w:val="hybridMultilevel"/>
    <w:tmpl w:val="91AA9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675C"/>
    <w:multiLevelType w:val="hybridMultilevel"/>
    <w:tmpl w:val="5866A526"/>
    <w:lvl w:ilvl="0" w:tplc="2286CE3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FAD7218"/>
    <w:multiLevelType w:val="hybridMultilevel"/>
    <w:tmpl w:val="26887650"/>
    <w:lvl w:ilvl="0" w:tplc="50ECB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BC"/>
    <w:rsid w:val="000E59C8"/>
    <w:rsid w:val="001809F4"/>
    <w:rsid w:val="001830F6"/>
    <w:rsid w:val="001D63F2"/>
    <w:rsid w:val="00250882"/>
    <w:rsid w:val="002561C6"/>
    <w:rsid w:val="00257F90"/>
    <w:rsid w:val="0027658A"/>
    <w:rsid w:val="002D5CF7"/>
    <w:rsid w:val="002E6594"/>
    <w:rsid w:val="00342684"/>
    <w:rsid w:val="003960AA"/>
    <w:rsid w:val="003F68BC"/>
    <w:rsid w:val="00437BD0"/>
    <w:rsid w:val="00471D62"/>
    <w:rsid w:val="0047247B"/>
    <w:rsid w:val="00495172"/>
    <w:rsid w:val="0057500A"/>
    <w:rsid w:val="005E4537"/>
    <w:rsid w:val="006D6A48"/>
    <w:rsid w:val="00751DE5"/>
    <w:rsid w:val="007B01F0"/>
    <w:rsid w:val="008C47C1"/>
    <w:rsid w:val="00913CEF"/>
    <w:rsid w:val="009678D0"/>
    <w:rsid w:val="009E5B61"/>
    <w:rsid w:val="009F34F5"/>
    <w:rsid w:val="00A27033"/>
    <w:rsid w:val="00A31E12"/>
    <w:rsid w:val="00AB32E8"/>
    <w:rsid w:val="00AF5F75"/>
    <w:rsid w:val="00B13D1F"/>
    <w:rsid w:val="00B45B3F"/>
    <w:rsid w:val="00BA2BEC"/>
    <w:rsid w:val="00BB6903"/>
    <w:rsid w:val="00C16707"/>
    <w:rsid w:val="00CB29E8"/>
    <w:rsid w:val="00D16A8D"/>
    <w:rsid w:val="00E922CF"/>
    <w:rsid w:val="00F22453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17FD"/>
  <w15:chartTrackingRefBased/>
  <w15:docId w15:val="{F2356C49-323D-49CC-9C1F-F4D51D7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2021-11-10T09:58:00Z</dcterms:created>
  <dcterms:modified xsi:type="dcterms:W3CDTF">2021-11-10T09:58:00Z</dcterms:modified>
</cp:coreProperties>
</file>