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CC" w:rsidRPr="00AE54A7" w:rsidRDefault="00F27DCC" w:rsidP="00F27D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F27DCC" w:rsidRPr="00AE54A7" w:rsidRDefault="00F27DCC" w:rsidP="00F27D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27DCC" w:rsidRDefault="00F27DCC" w:rsidP="00F27D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музыке ХХ века. Творчество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</w:p>
    <w:p w:rsidR="00F27DCC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тематическая: тема-мелодия, тема-гармония, тема-ритм в первой половине ХХ века.</w:t>
      </w:r>
    </w:p>
    <w:p w:rsidR="00F27DCC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атематическая: тема-тембр, тема-фактура,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(отдельный звук или интервал) в 50-е и 60-е годы ХХ века.</w:t>
      </w:r>
    </w:p>
    <w:p w:rsidR="00F27DCC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темы в простых вариантах, но в необычных тембрах в 70-е и 80-е годы.</w:t>
      </w:r>
    </w:p>
    <w:p w:rsidR="00F27DCC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F27DCC" w:rsidRDefault="00F27DCC" w:rsidP="00F27D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(1881-1945),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венгерский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композитор-неоклассик</w:t>
      </w:r>
    </w:p>
    <w:p w:rsidR="00F27DCC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музыке оставался в рамках традиций, сохранял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элементами фольклора, обновляя его тонально,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метроритмически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оркестрово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7DCC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Творческое наследие включает: фортепианные произведения (6 тетрадей «Микрокосмоса», три концерта), оперы, балеты, 6 струнных квартетов, оркестровые сочинения.</w:t>
      </w:r>
      <w:proofErr w:type="gramEnd"/>
    </w:p>
    <w:p w:rsidR="00F27DCC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F27DCC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для оркестра (1943 г.) – прослушивание.</w:t>
      </w:r>
    </w:p>
    <w:p w:rsidR="00F27DCC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пятичастный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форме «моста»: первая и пятая части – традиционные, 3 часть – драматургический центр, вторая и четвертая части носят промежуточный характер.</w:t>
      </w:r>
    </w:p>
    <w:p w:rsidR="00F27DCC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часть – Интродукция – квартовая тема звучит в начале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сдержанно-сурово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, а затем драматически напряженно. Энергичная главная партия переходит в спокойную побочную тему.</w:t>
      </w:r>
    </w:p>
    <w:p w:rsidR="00F27DCC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 – Игра пар – на фоне соло барабана вступает танцевальная тема в параллельных интервалах (фаготы – в сексту, гобои – в терцию, кларнеты – в м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, флейты – в квинту, трубы – в б2). В среднем разделе – хорал медных инструментов.</w:t>
      </w:r>
    </w:p>
    <w:p w:rsidR="00F27DCC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часть – Элегия – выражает чувства глубокой тоски композитора, находящегося в Америке, по родине.</w:t>
      </w:r>
    </w:p>
    <w:p w:rsidR="00F27DCC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 часть – Прерванное интермеццо – спокойный пастуший наигрыш у гобоя перекликается с лирической темой альтов. </w:t>
      </w:r>
      <w:r w:rsidRPr="006658A4">
        <w:rPr>
          <w:rFonts w:ascii="Times New Roman" w:hAnsi="Times New Roman" w:cs="Times New Roman"/>
          <w:sz w:val="24"/>
          <w:szCs w:val="24"/>
        </w:rPr>
        <w:t>В среднем разделе примитивный мотив</w:t>
      </w:r>
      <w:r>
        <w:rPr>
          <w:rFonts w:ascii="Times New Roman" w:hAnsi="Times New Roman" w:cs="Times New Roman"/>
          <w:sz w:val="24"/>
          <w:szCs w:val="24"/>
        </w:rPr>
        <w:t xml:space="preserve"> у кларнета символизирует разгул темных сил. </w:t>
      </w:r>
      <w:r w:rsidRPr="00896833">
        <w:rPr>
          <w:rFonts w:ascii="Times New Roman" w:hAnsi="Times New Roman" w:cs="Times New Roman"/>
          <w:sz w:val="24"/>
          <w:szCs w:val="24"/>
        </w:rPr>
        <w:t>Возв</w:t>
      </w:r>
      <w:r>
        <w:rPr>
          <w:rFonts w:ascii="Times New Roman" w:hAnsi="Times New Roman" w:cs="Times New Roman"/>
          <w:sz w:val="24"/>
          <w:szCs w:val="24"/>
        </w:rPr>
        <w:t>ращение начальных тем в зеркальной репризе создает образ высокой поэзии.</w:t>
      </w:r>
    </w:p>
    <w:p w:rsidR="00F27DCC" w:rsidRPr="00896833" w:rsidRDefault="00F27DCC" w:rsidP="00F27DC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 часть – Финал – жизнеутверждающая народная танцевальная стихия.</w:t>
      </w:r>
      <w:bookmarkStart w:id="0" w:name="_GoBack"/>
      <w:bookmarkEnd w:id="0"/>
    </w:p>
    <w:sectPr w:rsidR="00F27DCC" w:rsidRPr="00896833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83F17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27DCC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F30C-281C-42BC-9F15-480DA92C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2020-03-21T13:58:00Z</dcterms:created>
  <dcterms:modified xsi:type="dcterms:W3CDTF">2020-04-22T17:12:00Z</dcterms:modified>
</cp:coreProperties>
</file>