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FA" w:rsidRDefault="00D541B4" w:rsidP="007C2DFA">
      <w:pPr>
        <w:rPr>
          <w:rFonts w:ascii="Times New Roman" w:hAnsi="Times New Roman" w:cs="Times New Roman"/>
          <w:sz w:val="28"/>
          <w:szCs w:val="28"/>
        </w:rPr>
      </w:pPr>
      <w:r w:rsidRPr="00D541B4">
        <w:rPr>
          <w:rFonts w:ascii="Times New Roman" w:hAnsi="Times New Roman" w:cs="Times New Roman"/>
          <w:sz w:val="28"/>
          <w:szCs w:val="28"/>
        </w:rPr>
        <w:t>Лекция по дисциплине «Музыкальная терминология</w:t>
      </w:r>
      <w:r>
        <w:rPr>
          <w:rFonts w:ascii="Times New Roman" w:hAnsi="Times New Roman" w:cs="Times New Roman"/>
          <w:sz w:val="28"/>
          <w:szCs w:val="28"/>
        </w:rPr>
        <w:t xml:space="preserve">» для студентов </w:t>
      </w:r>
      <w:r w:rsidR="003E30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специальности 53.02.0</w:t>
      </w:r>
      <w:r w:rsidR="003E30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3087">
        <w:rPr>
          <w:rFonts w:ascii="Times New Roman" w:hAnsi="Times New Roman" w:cs="Times New Roman"/>
          <w:sz w:val="28"/>
          <w:szCs w:val="28"/>
        </w:rPr>
        <w:t>Теория музыки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541B4" w:rsidRPr="00D541B4" w:rsidRDefault="00D541B4" w:rsidP="007C2DFA">
      <w:pPr>
        <w:rPr>
          <w:rFonts w:ascii="Times New Roman" w:hAnsi="Times New Roman" w:cs="Times New Roman"/>
          <w:sz w:val="28"/>
          <w:szCs w:val="28"/>
        </w:rPr>
      </w:pPr>
    </w:p>
    <w:p w:rsidR="007C2DFA" w:rsidRDefault="00D541B4" w:rsidP="007C2DFA">
      <w:pPr>
        <w:rPr>
          <w:rFonts w:ascii="Times New Roman" w:hAnsi="Times New Roman" w:cs="Times New Roman"/>
          <w:b/>
          <w:sz w:val="28"/>
          <w:szCs w:val="28"/>
        </w:rPr>
      </w:pPr>
      <w:r w:rsidRPr="00D541B4">
        <w:rPr>
          <w:rFonts w:ascii="Times New Roman" w:hAnsi="Times New Roman" w:cs="Times New Roman"/>
          <w:b/>
          <w:sz w:val="28"/>
          <w:szCs w:val="28"/>
        </w:rPr>
        <w:t>Тема</w:t>
      </w:r>
      <w:r w:rsidR="007C2DFA" w:rsidRPr="00D541B4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D541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2DFA" w:rsidRPr="00D5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B4">
        <w:rPr>
          <w:rFonts w:ascii="Times New Roman" w:hAnsi="Times New Roman" w:cs="Times New Roman"/>
          <w:b/>
          <w:sz w:val="28"/>
          <w:szCs w:val="28"/>
        </w:rPr>
        <w:t>«</w:t>
      </w:r>
      <w:r w:rsidR="007C2DFA" w:rsidRPr="00D541B4">
        <w:rPr>
          <w:rFonts w:ascii="Times New Roman" w:hAnsi="Times New Roman" w:cs="Times New Roman"/>
          <w:b/>
          <w:sz w:val="28"/>
          <w:szCs w:val="28"/>
        </w:rPr>
        <w:t>Речевой этикет мастер-класса</w:t>
      </w:r>
      <w:r w:rsidRPr="00D541B4">
        <w:rPr>
          <w:rFonts w:ascii="Times New Roman" w:hAnsi="Times New Roman" w:cs="Times New Roman"/>
          <w:b/>
          <w:sz w:val="28"/>
          <w:szCs w:val="28"/>
        </w:rPr>
        <w:t>»</w:t>
      </w:r>
    </w:p>
    <w:p w:rsidR="007C2DFA" w:rsidRPr="007C2DFA" w:rsidRDefault="002A0C07" w:rsidP="007C2D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FD1FF3" w:rsidRPr="00FD1FF3" w:rsidRDefault="00D541B4" w:rsidP="00FD1F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FF3"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</w:t>
      </w:r>
      <w:proofErr w:type="spellStart"/>
      <w:r w:rsidR="00FD1FF3" w:rsidRPr="00FD1FF3">
        <w:rPr>
          <w:rFonts w:ascii="Times New Roman" w:hAnsi="Times New Roman" w:cs="Times New Roman"/>
          <w:bCs/>
          <w:sz w:val="28"/>
          <w:szCs w:val="28"/>
        </w:rPr>
        <w:t>распространен</w:t>
      </w:r>
      <w:proofErr w:type="spellEnd"/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, хотя употребление 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="00FD1FF3" w:rsidRPr="00FD1FF3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</w:t>
      </w:r>
      <w:proofErr w:type="spellStart"/>
      <w:r w:rsidR="00FD1FF3" w:rsidRPr="00FD1FF3">
        <w:rPr>
          <w:rFonts w:ascii="Times New Roman" w:hAnsi="Times New Roman" w:cs="Times New Roman"/>
          <w:bCs/>
          <w:sz w:val="28"/>
          <w:szCs w:val="28"/>
        </w:rPr>
        <w:t>предстает</w:t>
      </w:r>
      <w:proofErr w:type="spellEnd"/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</w:t>
      </w:r>
      <w:proofErr w:type="gram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советском</w:t>
      </w:r>
      <w:proofErr w:type="gramEnd"/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и российском </w:t>
      </w:r>
      <w:proofErr w:type="spell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>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2. Взаимосвязь музыкальной речи </w:t>
      </w:r>
      <w:proofErr w:type="gram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вербальной.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определенный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семантическую функцию. Основы музыкальной выразительности – </w:t>
      </w:r>
      <w:r w:rsidRPr="00FD1F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FD1FF3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 1)  </w:t>
      </w:r>
      <w:proofErr w:type="gramStart"/>
      <w:r w:rsidRPr="00FD1FF3">
        <w:rPr>
          <w:rFonts w:ascii="Times New Roman" w:hAnsi="Times New Roman" w:cs="Times New Roman"/>
          <w:bCs/>
          <w:sz w:val="28"/>
          <w:szCs w:val="28"/>
        </w:rPr>
        <w:t>Эмоциональные</w:t>
      </w:r>
      <w:proofErr w:type="gram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-  выразительные. 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Группа </w:t>
      </w:r>
      <w:r w:rsidRPr="00FD1FF3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д..    К  голосовым  относятся – восклицание, повеление, вопрос, мольба и др., к моторным – шаг, бег, скачущий ритм, механическое движение.</w:t>
      </w:r>
      <w:proofErr w:type="gramEnd"/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колес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поезда и т. п.</w:t>
      </w:r>
    </w:p>
    <w:p w:rsid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понятийным</w:t>
      </w:r>
      <w:proofErr w:type="gramEnd"/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FF3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383E0C" w:rsidRDefault="00383E0C" w:rsidP="00FD1FF3">
      <w:pPr>
        <w:rPr>
          <w:rFonts w:ascii="Times New Roman" w:hAnsi="Times New Roman" w:cs="Times New Roman"/>
          <w:bCs/>
          <w:sz w:val="28"/>
          <w:szCs w:val="28"/>
        </w:rPr>
      </w:pPr>
    </w:p>
    <w:p w:rsidR="00383E0C" w:rsidRPr="00383E0C" w:rsidRDefault="00FD1FF3" w:rsidP="00FD1F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83E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3E0C" w:rsidRPr="00383E0C">
        <w:rPr>
          <w:rFonts w:ascii="Times New Roman" w:hAnsi="Times New Roman" w:cs="Times New Roman"/>
          <w:b/>
          <w:bCs/>
          <w:sz w:val="28"/>
          <w:szCs w:val="28"/>
        </w:rPr>
        <w:t>3. Исследования в области речевого этикета музыкальной культуры.</w:t>
      </w:r>
      <w:r w:rsidRPr="00383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речевого этикета разных эпох является одним из важнейших требований</w:t>
      </w:r>
      <w:r w:rsidR="00EF43F1">
        <w:rPr>
          <w:rFonts w:ascii="Times New Roman" w:hAnsi="Times New Roman" w:cs="Times New Roman"/>
          <w:bCs/>
          <w:sz w:val="28"/>
          <w:szCs w:val="28"/>
        </w:rPr>
        <w:t xml:space="preserve"> к исполнителю как интерпретатору авторского замысла. </w:t>
      </w:r>
      <w:r w:rsidR="00806252">
        <w:rPr>
          <w:rFonts w:ascii="Times New Roman" w:hAnsi="Times New Roman" w:cs="Times New Roman"/>
          <w:bCs/>
          <w:sz w:val="28"/>
          <w:szCs w:val="28"/>
        </w:rPr>
        <w:t>Среди</w:t>
      </w:r>
      <w:r w:rsidR="00383E0C">
        <w:rPr>
          <w:rFonts w:ascii="Times New Roman" w:hAnsi="Times New Roman" w:cs="Times New Roman"/>
          <w:bCs/>
          <w:sz w:val="28"/>
          <w:szCs w:val="28"/>
        </w:rPr>
        <w:t xml:space="preserve"> ярких </w:t>
      </w:r>
      <w:r w:rsidR="00806252">
        <w:rPr>
          <w:rFonts w:ascii="Times New Roman" w:hAnsi="Times New Roman" w:cs="Times New Roman"/>
          <w:bCs/>
          <w:sz w:val="28"/>
          <w:szCs w:val="28"/>
        </w:rPr>
        <w:t xml:space="preserve">и фундаментальных трудов, </w:t>
      </w:r>
      <w:proofErr w:type="spellStart"/>
      <w:r w:rsidR="00806252">
        <w:rPr>
          <w:rFonts w:ascii="Times New Roman" w:hAnsi="Times New Roman" w:cs="Times New Roman"/>
          <w:bCs/>
          <w:sz w:val="28"/>
          <w:szCs w:val="28"/>
        </w:rPr>
        <w:t>посвященной</w:t>
      </w:r>
      <w:proofErr w:type="spellEnd"/>
      <w:r w:rsidR="00806252">
        <w:rPr>
          <w:rFonts w:ascii="Times New Roman" w:hAnsi="Times New Roman" w:cs="Times New Roman"/>
          <w:bCs/>
          <w:sz w:val="28"/>
          <w:szCs w:val="28"/>
        </w:rPr>
        <w:t xml:space="preserve"> данной теме, выделяется работа </w:t>
      </w:r>
      <w:r w:rsidR="00EF43F1">
        <w:rPr>
          <w:rFonts w:ascii="Times New Roman" w:hAnsi="Times New Roman" w:cs="Times New Roman"/>
          <w:bCs/>
          <w:sz w:val="28"/>
          <w:szCs w:val="28"/>
        </w:rPr>
        <w:t xml:space="preserve"> Н. М. Диденко «Музыкально-речевой этикет </w:t>
      </w:r>
      <w:proofErr w:type="spellStart"/>
      <w:r w:rsidR="00EF43F1">
        <w:rPr>
          <w:rFonts w:ascii="Times New Roman" w:hAnsi="Times New Roman" w:cs="Times New Roman"/>
          <w:bCs/>
          <w:sz w:val="28"/>
          <w:szCs w:val="28"/>
        </w:rPr>
        <w:t>раннеклассической</w:t>
      </w:r>
      <w:proofErr w:type="spellEnd"/>
      <w:r w:rsidR="00EF43F1">
        <w:rPr>
          <w:rFonts w:ascii="Times New Roman" w:hAnsi="Times New Roman" w:cs="Times New Roman"/>
          <w:bCs/>
          <w:sz w:val="28"/>
          <w:szCs w:val="28"/>
        </w:rPr>
        <w:t xml:space="preserve"> эпохи в контексте развития интонационного мышления современного музыканта - исполнителя» (Ростовская Государственная консерватория им. С. В. Рахманинова)</w:t>
      </w:r>
      <w:r w:rsidR="00383E0C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C07" w:rsidRDefault="002A0C07" w:rsidP="007C2DFA">
      <w:pPr>
        <w:rPr>
          <w:rFonts w:ascii="Times New Roman" w:hAnsi="Times New Roman" w:cs="Times New Roman"/>
          <w:sz w:val="28"/>
          <w:szCs w:val="28"/>
        </w:rPr>
      </w:pPr>
    </w:p>
    <w:p w:rsidR="007C2DFA" w:rsidRPr="007C2DFA" w:rsidRDefault="00FD1FF3" w:rsidP="007C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1B4">
        <w:rPr>
          <w:rFonts w:ascii="Times New Roman" w:hAnsi="Times New Roman" w:cs="Times New Roman"/>
          <w:sz w:val="28"/>
          <w:szCs w:val="28"/>
        </w:rPr>
        <w:t>П</w:t>
      </w:r>
      <w:r w:rsidR="007C2DFA" w:rsidRPr="007C2DFA">
        <w:rPr>
          <w:rFonts w:ascii="Times New Roman" w:hAnsi="Times New Roman" w:cs="Times New Roman"/>
          <w:sz w:val="28"/>
          <w:szCs w:val="28"/>
        </w:rPr>
        <w:t xml:space="preserve">роцесс формирования и развития интонационного мышления современного музыканта-профессионала неразрывно связан с освоением культурного наследия в сфере интерпретирующей деятельности. При этом подразумевается, что любое истолкование художественного произведения характеризует в равной степени две эпохи – создавшую упомянутое произведение и породившую соответствующее истолкование. Полноценное осмысление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интерпретаторской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концепции невозможно без освоения «картины мира», обусловившей уникальность, неповторимость интерпретации.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Но вторичное «погружение» – из посредствующего контекста (скажем, «эталонной» грамзаписи, «образцовой» редакции нотного текста и т. п.) в контекст самого произведения – представляется крайне сложным и малопродуктивным занятием.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Прямое и непосредственное общение «композитор – истолкователь» несравненно более перспективно и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 xml:space="preserve">увлекательно, ибо предполагает равноправный диалог с автором на основе избранных последним для себя определённых законов. Осмысление различных типов слухового восприятия и мышления, свойственных историческим эпохам и отдельным композиторам, закономерно приводит учащегося к мысли о создании собственной, не копирующей никого из предшественников, реконструкции текста, определяет желательную интенсивность интонационно-слуховой деятельности, благодаря которой возможно полноценное саморазвитие музыканта. Следует подчеркнуть, что зрению в рассматриваемом процессе принадлежит исключительно важная роль, обусловленная необходимостью изучения графического образа произведения.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В особенности плодотворным оказывается знакомство с факсимильными публикациями, где в точности воспроизведён облик авторской рукописи или подготовленного самим композитором первого печатного (на примере Трио-сонаты «Диалог Сангвиника с Меланхоликом» Ф. Э. Баха) </w:t>
      </w:r>
      <w:r w:rsidR="00D541B4">
        <w:rPr>
          <w:rFonts w:ascii="Times New Roman" w:hAnsi="Times New Roman" w:cs="Times New Roman"/>
          <w:sz w:val="28"/>
          <w:szCs w:val="28"/>
        </w:rPr>
        <w:t>от</w:t>
      </w:r>
      <w:r w:rsidR="007C2DFA" w:rsidRPr="007C2DFA">
        <w:rPr>
          <w:rFonts w:ascii="Times New Roman" w:hAnsi="Times New Roman" w:cs="Times New Roman"/>
          <w:sz w:val="28"/>
          <w:szCs w:val="28"/>
        </w:rPr>
        <w:t>тиска</w:t>
      </w:r>
      <w:r w:rsidR="002A0C07">
        <w:rPr>
          <w:rFonts w:ascii="Times New Roman" w:hAnsi="Times New Roman" w:cs="Times New Roman"/>
          <w:sz w:val="28"/>
          <w:szCs w:val="28"/>
        </w:rPr>
        <w:t xml:space="preserve"> </w:t>
      </w:r>
      <w:r w:rsidR="00D541B4" w:rsidRPr="00D541B4">
        <w:rPr>
          <w:rFonts w:ascii="Times New Roman" w:hAnsi="Times New Roman" w:cs="Times New Roman"/>
          <w:sz w:val="28"/>
          <w:szCs w:val="28"/>
        </w:rPr>
        <w:t xml:space="preserve"> </w:t>
      </w:r>
      <w:r w:rsidR="007C2DFA" w:rsidRPr="007C2DFA">
        <w:rPr>
          <w:rFonts w:ascii="Times New Roman" w:hAnsi="Times New Roman" w:cs="Times New Roman"/>
          <w:sz w:val="28"/>
          <w:szCs w:val="28"/>
        </w:rPr>
        <w:t xml:space="preserve">Пространство текста: широта или компактность изложения,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тесситурные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границы, способы группировки длительностей и распределения голосов на каждом нотоносце, способы расстановки исполнительских ремарок, – эти и другие детали могут дать, при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зряче обращаться с нотным источником, весьма обширную информацию, что развивает возможности профессионального «умного зрения». Помимо прочего, текст зачастую содержит крайне существенные детали (посвящения, эпиграфы, цитаты, монограммы, подтекстовки фрагментов в инструментальной музыке), сплошь и рядом не замечаемые исполнителями. К тому же степень подробности авторских ремарок («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очищенность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» произведения от комментариев либо, наоборот, перегруженность ими), при соотнесении с мировидением конкретной эпохи, может подсказать предполагаемого адресата сочинения и определённую степень свободы интерпретатора в связи с этим... В качестве учебной дисциплины, благоприятствующей органическому сопряжению названных аспектов профессиональной деятельности, может быть избран традиционный вузовский курс сольфеджио, что обусловливается его практической направленностью. Необходимость же более тесного сопряжения курса с художественной практикой влечёт за собой устремлённость к исторически обусловленным принципам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интерпретаторского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прочтения музыкальных произведений XVIII–XIX веков. Такой подход призван способствовать целенаправленному и продуктивному «диалогу» с наиболее значимой частью сегодняшнего концертного и педагогического репертуара. Основополагающая роль в этом процессе закономерно отводится интонационному мышлению современного музыканта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2DFA" w:rsidRPr="007C2DFA">
        <w:rPr>
          <w:rFonts w:ascii="Times New Roman" w:hAnsi="Times New Roman" w:cs="Times New Roman"/>
          <w:sz w:val="28"/>
          <w:szCs w:val="28"/>
        </w:rPr>
        <w:t xml:space="preserve">творчески мыслящего артиста-концертанта, педагога, исследователя. К примеру, постигая приоритетные особенности музыкального мышления в XVIII столетии, надлежит учитывать специфику обозначенной эпохи – её «пограничное» местоположение, историческую роль «перехода» от многовекового господства бесписьменной культуры к несомненному доминированию письменной (на протяжении последних 200 лет). Насколько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>существенными являются черты указанной «переходности» для Века Просвещения? В качестве образца представляется возможным рассмотреть инструментальное сочинение одного из крупнейших мастеров названного периода – Трио-сонату c-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Wq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161 «Диалог Сангвиника с Меланхоликом» Филиппа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Эмануэля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Баха. Приводимый ниже ряд дихотомий («социолого-культурологических различий» между освещаемыми системами, по У.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Онгу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) явственно корреспондирует с художественным миросозерцанием Ф. Э. Баха и его инструментализмом: –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аддитивность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– субординация: «Устное изложение как тип организации материала, в отличие от письменного, лишено чёткого синтаксического соподчинения членов предложения. Постоянные повторы устной речи создают замкнутую концентрическую структуру, тогда как письменность – упорядоченно-линейную» (цит. по: [5, с. 221]). Сопряжённость рассматриваемых типов структурирования в «пограничную» эпоху реализуется благодаря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своеобразному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двуединству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акустических музыкальных текстов: традиционная значимость орнаментируемых повторений уравновешивается целеустремлённостью линейного развёртывания композиционной структуры (в этом плане показательно взаимодействие черт старосонатной формы и фуги, характерное для финальной части упомянутой Трио-сонаты «Сангвиник и Меланхолик»); – накопление –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: «Опора на формулы, т. е. использование экспрессивных и ритмических средств-клише служит воспроизведению некоторого опыта, а не исследовательски-познавательному движению авторской мысли, как в научном тексте» (цит. по: [5, с. 221]). Общеизвестна приверженность европейских музыкантов XVIII века сформировавшимся ранее принципам «художественной риторики», – последние «воспроизводят некоторый опыт» ренессансной и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раннебарочной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культуры, зафиксированный в «средствах-клише» и «формулах». Вместе с тем, эпохе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Просвещения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несомненно свойственна устремлённость к индивидуализации музыкальной лексики, переосмыслению и развитию традиционных риторических норм. Отмеченному процессу благоприятствуют и актуальные эстетические установки, связанные с «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инвенторством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>» (см.: [4, с. 43–48]), и ярко выраженные исследовательск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«познавательные» тенденции в творчестве целого ряда композиторов. Например,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Трио-сонате c-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Ф. Э. Бах обнаруживает склонность к индивидуализированному преломлению традиций «художественной риторики» исходя из нетривиального программного замысла и развёртывания соответствующего сюжета; – избыточность – точность: «Однозначность, точность, экономичность языковых средств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порождены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письменным языком. Избыточность сообщения неизбежна при хранении опыта в живой памяти и его устной передаче между поколениями» (цит. по: [5, с. 221]). Теснейшая связь музыкального произведения XVIII века с бесписьменной культурой обусловливается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соответствующих акустических «версий», продуцируемых исполнителями – инструменталистами и вокалистами. Артикуляционно-штриховой «рельеф» многоголосной ткани, орнаментальные видоизменения реприз,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 целесообразные расшифровки авторских «схем» и «конспектов» (цифрованного баса, аккордовых фигураций, «загадочных» канонов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еtс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аденционные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дополнения и связки между разделами по-прежнему относятся к числу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нефиксируемых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(«избыточных») элементов подобного «сообщения». Наряду с этим, обнаруживается тяготение к «рационализации»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интерпретаторского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процесса, реализуемое в многочисленных «школах» и практических руководствах.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Среди них особое место принадлежит «Опыту истинного искусства клавирной игры» Ф. Э. Баха, ныне – общепризнанной «энциклопедии» западноевропейского инструментализма рассматриваемого периода (см.: [1, с. 12–13]); – консерватизм – новаторство: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«Включение в устную традицию принципиально новых формул и фактов затруднено приверженностью к прошлому опыту. Явной ориентации на будущее бесписьменное сознание, в отличие от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14 датируемой 1762 годом и фактически предвосхитившей более поздние опыты «музыкальной физиогномики» (от «Бури и натиска» до «портретных галерей» Р. Шумана); – патетичность (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агонистичность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) – нейтральность: «Устное сообщение эмоционально окрашено и суггестивно. Современный текст более очищен от побуждения и ориентирован на “чистую” информацию» (цит. по: [5, с. 221–222]).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Подчеркнутая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«эмоциональная окрашенность» – важнейшая черта графических музыкальных текстов XVIII века, предопределяемая очевидными связями тогдашней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нотоиздательской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практики с рукописной традицией. Начертаниям штилей, вязок, лиг, акцентов, орнаментальных «аббревиатур» и других составляющих нотного текста в указанную эпоху была свойственна видимая «экспрессивность». Обозначенная специфика нотных изданий, таящих в себе выразительные «интенции», безусловно, учитывалась Ф. Э. Бахом. В частности, его Трио-сонате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сопутствовал авторский программный комментарий, намечающий основные вехи развёртывания избранного сюжета – «Диалога Сангвиника с Меланхоликом». Однако вдумчивый и наблюдательный музыкант, сопоставив начальные разделы I части и финала, мог бы – в общих чертах, разумеется, – охарактеризовать эту программу до ознакомления с ней и нотным текстом всей Трио-сонаты! Проницательность такого рода, с одной стороны, обусловливалась надлежащими познаниями в музыкально-риторической «диспозиции», с другой, – обширным «ассоциативно-изобразительным потенциалом» прижизненного издания рассматриваемого цикла; –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(соучастие) – дистанция: «Непосредственная коммуникация как регулятор межличностных отношений служит инструментом идентификации и группового объединения. Напротив, в опосредованной коммуникации силён эффект разграничения позиций» (цит. по: [5, с. 222]). Не будет преувеличением заметить, что наследие Ф. Э. Баха и его современников выступает показательным образцом многоуровневой коммуникации, как «непосредственной» (в общении ученика с педагогом, исполнителя – с его партнёрами по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, например, в процессе разучивания и сценического воплощения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Триосонаты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), так и «опосредованной»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>(создателя музыки – с её интерпретатором или же последнего – с авторами предшествующих «звуковых версий» конкретного текста). При этом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сегодня коммуникативных «моделей» исполнительской деятельности, «пограничная» эпоха демонстрирует особенно тесное и плодотворное взаимодействие описываемых сфер. В частности, «межличностные отношения» потенциальных исполнителей Трио-сонаты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корреспондируют с объявленным «сценарием» воображаемой коммуникации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персонажей. Педагог, направляющий действия ученика – интерпретатора данного цикла, сам оказывается «учеником» Ф. Э. Баха благодаря постоянному «общению» с вышеназванным трактатом «Опыт истинного искусства клавирной игры». Наконец, «виртуальная» коммуникация современных музыкантов с Меланхоликом и Сангвиником, рождённая фантазией автора, по сути, заключает в себе «таинство узнавания». Фигура Меланхолика, для культурной традиции Средневековья и Ренессанса – олицетворение художественно-артистического типа личности, в данном случае обретает плоть и кровь. О приступах меланхолии, посещавших Ф. Э. Баха и сопровождавшихся клавирными импровизациями необычайной силы эмоционального воздействия, свидетельствовали авторитетные знатоки и ценители клавирного искусства [2, c. 235–236]. Не случайно, записав одну из «меланхолических импровизаций», композитор снабдил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исповедальным названием «Чувства Ф. Э. Баха» (см.: [3, с. 51])... Как видим, программный замысел в характеризуемой ситуации наделяется чертами автобиографичности: «Пытаясь передать полноту человеческого существования, графический рассудок превращается в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симптомологию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. Между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формальным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и незафиксированным существует равновесие.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Личность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не только в очевидных фактах, но и в преходящих состояниях, которые надо не устанавливать – припоминать и разгадывать» ([5, с. 230]; курсив наш.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– Н. Д.). Отметим, кстати, что условное «равновесие... между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формальным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и незафиксированным», присущее XVIII веку в целом как «пограничной эпохе», сохраняет ключевую роль и в дальнейшем развитии письменной культуры. «После эмоционально-смысловой памяти, которая вызрела в пределах бесписьменной технологии, новые формы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функции создаются под эгидой письменности», – указывает цитируемый исследователь [5, с. 223]. Наряду с этим, художественное воссоздание «стихии непосредственного человеческого контакта» (пускай даже упрощённ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«схематизированное», как в «Диалоге Сангвиника с Меланхоликом») по-прежнему апеллирует к законам устной, «непосредственной» коммуникации. </w:t>
      </w:r>
    </w:p>
    <w:p w:rsidR="000E7706" w:rsidRPr="007C2DFA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7C2DFA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C"/>
    <w:rsid w:val="00035574"/>
    <w:rsid w:val="00044CD9"/>
    <w:rsid w:val="000E7706"/>
    <w:rsid w:val="001D01DC"/>
    <w:rsid w:val="0026076F"/>
    <w:rsid w:val="002A0C07"/>
    <w:rsid w:val="00303A5E"/>
    <w:rsid w:val="00383E0C"/>
    <w:rsid w:val="003E3087"/>
    <w:rsid w:val="004525EC"/>
    <w:rsid w:val="00466F86"/>
    <w:rsid w:val="00513D81"/>
    <w:rsid w:val="006B02BF"/>
    <w:rsid w:val="007C2DFA"/>
    <w:rsid w:val="00806252"/>
    <w:rsid w:val="008A0411"/>
    <w:rsid w:val="00AE10A9"/>
    <w:rsid w:val="00AF35AC"/>
    <w:rsid w:val="00B27A59"/>
    <w:rsid w:val="00B57049"/>
    <w:rsid w:val="00C17596"/>
    <w:rsid w:val="00D016F5"/>
    <w:rsid w:val="00D541B4"/>
    <w:rsid w:val="00DA2573"/>
    <w:rsid w:val="00E32DDF"/>
    <w:rsid w:val="00EF43F1"/>
    <w:rsid w:val="00F53CAE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2020-05-20T09:56:00Z</dcterms:created>
  <dcterms:modified xsi:type="dcterms:W3CDTF">2020-05-20T11:08:00Z</dcterms:modified>
</cp:coreProperties>
</file>