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b/>
          <w:i/>
          <w:sz w:val="28"/>
          <w:szCs w:val="28"/>
          <w:u w:val="single"/>
        </w:rPr>
        <w:t>Эдвард Григ</w:t>
      </w:r>
      <w:r w:rsidRPr="004E50B5">
        <w:rPr>
          <w:rFonts w:ascii="Times New Roman" w:hAnsi="Times New Roman" w:cs="Times New Roman"/>
          <w:sz w:val="28"/>
          <w:szCs w:val="28"/>
        </w:rPr>
        <w:t xml:space="preserve"> (полное имя Эдвард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Хагеруп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Григ, норв.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Edvard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Hagerup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Grieg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; 15 июня 1843, Берген, Норвегия — 4 сентября 1907, там же) — норвежский композитор, пианист, дирижёр, общественный деятель. Григ, творчество которого в целом относят к музыкальному романтизму, испытал значительное влияние норвежской народной культуры (эпоса, музыки, танца, современных бытовых традиций).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Творчество Эдварда Грига впитало в себя типические черты норвежского музыкального фольклора — эпических и лирических песен скальдов, мелодий пастушьего альпийского рога, трудовых и бытовых песен. Этот фольклор формировался на протяжении многих столетий, и его особенности закрепились в XIV-XVIII веках.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Немалую роль в них играло воспроизведение образов природы, персонажей норвежских народных сказаний о подземном мире — гномов, кобольдов, троллей, домовых, водяных (например, «Шествие гномов» и «Кобольд» из «Лирических пьес», «В пещере гор</w:t>
      </w:r>
      <w:r>
        <w:rPr>
          <w:rFonts w:ascii="Times New Roman" w:hAnsi="Times New Roman" w:cs="Times New Roman"/>
          <w:sz w:val="28"/>
          <w:szCs w:val="28"/>
        </w:rPr>
        <w:t xml:space="preserve">ного короля» из «Пера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Норвежская народная мелодика отмечена рядом характерных особенностей, которые определили своеобразие музыкальной стилистики Грига. В инструментальной музыке мелодические линии часто развиваются сложным орнаментом в наслоении форшлагов, мордентов, трелей, мелодических задержаний.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 xml:space="preserve">Эти приемы народного скрипичного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закреплены во многих танцевальных пьесах Грига.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 xml:space="preserve"> Подобные приемы проникают и в его вокальную музыку, где мелодические задержания слу</w:t>
      </w:r>
      <w:r>
        <w:rPr>
          <w:rFonts w:ascii="Times New Roman" w:hAnsi="Times New Roman" w:cs="Times New Roman"/>
          <w:sz w:val="28"/>
          <w:szCs w:val="28"/>
        </w:rPr>
        <w:t>жат выражению широкого вздоха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Григ часто использовал свежо звучавшие в его время ладовые обороты — дорийский, фригийский. Они способствовали обогащению его гармонических приемов, среди которых альтерации, необычное сочетание тональностей, хроматическое нисхождение баса, часто</w:t>
      </w:r>
      <w:r>
        <w:rPr>
          <w:rFonts w:ascii="Times New Roman" w:hAnsi="Times New Roman" w:cs="Times New Roman"/>
          <w:sz w:val="28"/>
          <w:szCs w:val="28"/>
        </w:rPr>
        <w:t>е применение органного пункта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В фортепианных пьесах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. 17, 35, 63 и 72 Григ всесторонне отобразил музыку таких норвежских танцев, как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спрингар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халлинг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гангар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до него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разрабатываемые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 xml:space="preserve"> скрипачами, которыми издавна славилась Норвегия[9]. Он дал также развернутые сцены из народной жизни на основе танцевальных интонаций и ритмов («Сцены из сельской жизни»,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. 19; «Свадебный день в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Тролльхаугене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. 65), им присущи живые, энергичные ритмы, активный характер, порой с оттенком юмора. В танцы, особенно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гангар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, нередко привносятся сюжетные мотивы (в частности, популярны шуточные сцены, именуемые «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стабе-лотен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 xml:space="preserve">Григ часто пользовался ими и нередко насыщал </w:t>
      </w:r>
      <w:r w:rsidRPr="004E50B5">
        <w:rPr>
          <w:rFonts w:ascii="Times New Roman" w:hAnsi="Times New Roman" w:cs="Times New Roman"/>
          <w:sz w:val="28"/>
          <w:szCs w:val="28"/>
        </w:rPr>
        <w:lastRenderedPageBreak/>
        <w:t xml:space="preserve">свои произведения сюжетной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программностью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когда хотел запечатлеть в музыке </w:t>
      </w:r>
      <w:r>
        <w:rPr>
          <w:rFonts w:ascii="Times New Roman" w:hAnsi="Times New Roman" w:cs="Times New Roman"/>
          <w:sz w:val="28"/>
          <w:szCs w:val="28"/>
        </w:rPr>
        <w:t>нравы и обычаи родного народа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Григ преклонялся перед гением Моцарта, одновременно полагая, что при знакомстве с Вагнером «этот универсальный гений, чья душа всегда оставалась чуждой всякого филистерства, обрадовался бы как дитя всем новым завоеваниям в области драмы и оркестра». Бах для него являлся «краеугольным камнем» музыкального искусства. У Шумана он ценил, прежде всего «теплый, глубоко сердечный тон» музыки и самого себя причислял к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шумановской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школе. Склонность к меланхолии и мечтательности роднит его с немецкой музыкой. «Однако мы более любим ясность и краткость, даже наша разговорная речь ясна и точна. Мы стремимся добиться этой ясности и точности в нашем искусстве», утверждал Григ. Много тёплых слов он находил для Брамса, а свою статью памяти Верди начал слова</w:t>
      </w:r>
      <w:r>
        <w:rPr>
          <w:rFonts w:ascii="Times New Roman" w:hAnsi="Times New Roman" w:cs="Times New Roman"/>
          <w:sz w:val="28"/>
          <w:szCs w:val="28"/>
        </w:rPr>
        <w:t xml:space="preserve">ми: «Ушел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великий…»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К фортепиано Григ обращался на протяжении всей жизни. В небольших пьесах он фиксировал своего рода «дневниковые записи» — личные жизненные впечатления и наблюдения, в которых сам предстает увлекательным рассказчиком. Тематика пьес наделена такой жанровой характерностью, а ритмические и гармонические ходы содержат столько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неожиданного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 xml:space="preserve"> и увлекательного, что музыкальное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уподобляется хорошей новелле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В фортепианной музыке Грига заметны две струи. Одна из них связана с выражением лично субъективных чувств, и здесь Григ более интимен, обращаясь к сфере той «домашней музыки», которая со времен «Песен без слов» Мендельсона заняла видное место в европейской фортепианной лирике (например, фортепианные миниатюры Чайковского). Другая струя связана с областью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жанрово-характерного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 xml:space="preserve">, с народной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танцевальностью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. И если в первом случае композитор стремился к передаче поэтичных индивидуальных состояний, то во втором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 xml:space="preserve"> прежде всего интересовала зарисовка сцен на</w:t>
      </w:r>
      <w:r>
        <w:rPr>
          <w:rFonts w:ascii="Times New Roman" w:hAnsi="Times New Roman" w:cs="Times New Roman"/>
          <w:sz w:val="28"/>
          <w:szCs w:val="28"/>
        </w:rPr>
        <w:t>родной жизни, картин природы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Из примерно 150 фортепианных пьес Грига 66 были изданы в десяти тетрадях «Лирических пьес». Лучшие из этих пьес давно стали достоянием широких кругов любителей музыки. По своему складу они импульсивны,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импровизационны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но заключены большей частью в рамки трехчастной композиции. Заглавия пьес носят характер эпиграфов, которые призваны вызвать определённые ассоциации в связи с содержанием музыки. Выбор заглавий не всегда удачен и иногда грешит данью салонной традиции, что не </w:t>
      </w:r>
      <w:r w:rsidRPr="004E50B5">
        <w:rPr>
          <w:rFonts w:ascii="Times New Roman" w:hAnsi="Times New Roman" w:cs="Times New Roman"/>
          <w:sz w:val="28"/>
          <w:szCs w:val="28"/>
        </w:rPr>
        <w:lastRenderedPageBreak/>
        <w:t>имеет отношения к музыке. Она отмечена большим лирическим обаянием и своеобразием, богатой мелодикой, наделенной живым, тёплым, вокальным дыханием. Поэтому так органично соседствуют в наследии Грига оригинальные фортепианные пьесы и его же переложения собственных песен</w:t>
      </w:r>
      <w:r>
        <w:rPr>
          <w:rFonts w:ascii="Times New Roman" w:hAnsi="Times New Roman" w:cs="Times New Roman"/>
          <w:sz w:val="28"/>
          <w:szCs w:val="28"/>
        </w:rPr>
        <w:t xml:space="preserve"> для фортепиано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</w:rPr>
        <w:t>. 41, 52)</w:t>
      </w:r>
      <w:r w:rsidRPr="004E50B5">
        <w:rPr>
          <w:rFonts w:ascii="Times New Roman" w:hAnsi="Times New Roman" w:cs="Times New Roman"/>
          <w:sz w:val="28"/>
          <w:szCs w:val="28"/>
        </w:rPr>
        <w:t>.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Избранные </w:t>
      </w:r>
      <w:r>
        <w:rPr>
          <w:rFonts w:ascii="Times New Roman" w:hAnsi="Times New Roman" w:cs="Times New Roman"/>
          <w:sz w:val="28"/>
          <w:szCs w:val="28"/>
        </w:rPr>
        <w:t>сочинения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Соната для фор</w:t>
      </w:r>
      <w:r>
        <w:rPr>
          <w:rFonts w:ascii="Times New Roman" w:hAnsi="Times New Roman" w:cs="Times New Roman"/>
          <w:sz w:val="28"/>
          <w:szCs w:val="28"/>
        </w:rPr>
        <w:t xml:space="preserve">тепиано ми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7 (1865)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Соната № 1 для с</w:t>
      </w:r>
      <w:r>
        <w:rPr>
          <w:rFonts w:ascii="Times New Roman" w:hAnsi="Times New Roman" w:cs="Times New Roman"/>
          <w:sz w:val="28"/>
          <w:szCs w:val="28"/>
        </w:rPr>
        <w:t xml:space="preserve">крипки и фортепиано фа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8 (1865)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 xml:space="preserve">Осенью, </w:t>
      </w:r>
      <w:r>
        <w:rPr>
          <w:rFonts w:ascii="Times New Roman" w:hAnsi="Times New Roman" w:cs="Times New Roman"/>
          <w:sz w:val="28"/>
          <w:szCs w:val="28"/>
        </w:rPr>
        <w:t xml:space="preserve">для фортепиано в четыре руки,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11, также для оркестра (1866)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Лирические пьесы, для фортепиано: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1,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12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Arietta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(Ариетта)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Vals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(Вальс)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Vektersang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(Песнь стражника)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Alfedans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(Танец эльфов)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Folkevise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(Народная мелодия)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Norsk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(Норвежский напев)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7.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Albumblad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(Листок из альбома)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8.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Fedrelandssang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(Национальный гимн)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2,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38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Berceuse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(Колыбельная)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Folkevise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(Народная песня)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Melodi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(Мелодия)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Halling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Халлинг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Springdans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(Весенний танец)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Elegi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(Элегия)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Vals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(Вальс)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8.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Kanon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(Канон)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3,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43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Sommerfugl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Ensom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vandrer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(Одинокий путник)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hjemmet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(На родине)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Liten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fugl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(Птичка)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Erotikk</w:t>
      </w:r>
      <w:proofErr w:type="spellEnd"/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våren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(К весне)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4,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47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Valse-Impromptu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(Вальс-экспромт)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Albumblad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(Листок из альбома)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Melodi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(Мелодия)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Halling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Халлинг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Melankoli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(Меланхолия)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Springtanz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(Весенний танец)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7.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Elegi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(Элегия)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5,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54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Gjetergutt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(Пастушок)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Gangar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(Норвежский марш)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Trolltog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(Марш гномов)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Notturno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(Ноктюрн)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Scherzo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(Скерцо)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Klokkeklang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(Колокольный звон)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6,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57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Svundne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dager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(Прошедшие дни)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Gade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Гаде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Illusjon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(Иллюзия)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Geheimniss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(Тайна)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tanzt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(Она танцует)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Heimweh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(Тоска по родине)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7,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62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Sylfide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(Сильфида)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Takk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(Благодарность)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Fransk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serenade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(Французская серенада)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Bekken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(Ручеек)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Drømmesyn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(Призрак)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Hjemad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(Домой)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8,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65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ungdomsdagene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(Былые годы)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Bondens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(Песня крестьянина)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Tungsinn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(Меланхолия)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Salong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Салон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balladetone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Баллада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Bryllupsdag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Troldhaugen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Свадебный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день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в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Тролльхаугене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</w:rPr>
        <w:t>Тетрадь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9, op. 68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Matrosenes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oppsang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Матросская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песня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Bestemors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menuet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Бабушкин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менуэт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B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ab/>
        <w:t xml:space="preserve">For dine </w:t>
      </w:r>
      <w:proofErr w:type="spellStart"/>
      <w:r w:rsidRPr="004E50B5">
        <w:rPr>
          <w:rFonts w:ascii="Times New Roman" w:hAnsi="Times New Roman" w:cs="Times New Roman"/>
          <w:sz w:val="28"/>
          <w:szCs w:val="28"/>
          <w:lang w:val="en-US"/>
        </w:rPr>
        <w:t>føtter</w:t>
      </w:r>
      <w:proofErr w:type="spellEnd"/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0B5">
        <w:rPr>
          <w:rFonts w:ascii="Times New Roman" w:hAnsi="Times New Roman" w:cs="Times New Roman"/>
          <w:sz w:val="28"/>
          <w:szCs w:val="28"/>
        </w:rPr>
        <w:t>У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твоих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0B5">
        <w:rPr>
          <w:rFonts w:ascii="Times New Roman" w:hAnsi="Times New Roman" w:cs="Times New Roman"/>
          <w:sz w:val="28"/>
          <w:szCs w:val="28"/>
        </w:rPr>
        <w:t>ног</w:t>
      </w:r>
      <w:r w:rsidRPr="004E50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Aften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på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højfjellet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(Вечер в горах)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Bådnlåt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(У колыбели)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Valse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mélancolique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(Меланхолический вальс)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 xml:space="preserve">Тетрадь 10,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71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1.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engang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(Жили-были…)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2.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Sommeraften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(Летним вечером)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3.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Småtroll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(Пак / Пек)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4.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Skogstillhet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(Лесной покой)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5.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Halling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Халлинг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6.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Forbi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(Всё миновало)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7.</w:t>
      </w:r>
      <w:r w:rsidRPr="004E50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Efterklang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(Воспоминания)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Соната № 2 для скр</w:t>
      </w:r>
      <w:r>
        <w:rPr>
          <w:rFonts w:ascii="Times New Roman" w:hAnsi="Times New Roman" w:cs="Times New Roman"/>
          <w:sz w:val="28"/>
          <w:szCs w:val="28"/>
        </w:rPr>
        <w:t xml:space="preserve">ипки и фортепиано соль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13 (1867)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Концерт для фо</w:t>
      </w:r>
      <w:r>
        <w:rPr>
          <w:rFonts w:ascii="Times New Roman" w:hAnsi="Times New Roman" w:cs="Times New Roman"/>
          <w:sz w:val="28"/>
          <w:szCs w:val="28"/>
        </w:rPr>
        <w:t xml:space="preserve">ртепиано с оркестром,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16 (1868)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Крестоносец»,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 xml:space="preserve">. 22, музыка к пьесе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Бьёрнстьерне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Бьёрнсона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(1872)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23, музыка к пьесе Генрика Ибсена (1875)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Струнный квартет соль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27 (1877—1878)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«Норвежские танцы» для фортепиан</w:t>
      </w:r>
      <w:r>
        <w:rPr>
          <w:rFonts w:ascii="Times New Roman" w:hAnsi="Times New Roman" w:cs="Times New Roman"/>
          <w:sz w:val="28"/>
          <w:szCs w:val="28"/>
        </w:rPr>
        <w:t xml:space="preserve">о в четыре руки,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35, также для оркестра (1881)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Соната</w:t>
      </w:r>
      <w:r>
        <w:rPr>
          <w:rFonts w:ascii="Times New Roman" w:hAnsi="Times New Roman" w:cs="Times New Roman"/>
          <w:sz w:val="28"/>
          <w:szCs w:val="28"/>
        </w:rPr>
        <w:t xml:space="preserve"> для виолончели и фортепиано,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4E50B5">
        <w:rPr>
          <w:rFonts w:ascii="Times New Roman" w:hAnsi="Times New Roman" w:cs="Times New Roman"/>
          <w:sz w:val="28"/>
          <w:szCs w:val="28"/>
        </w:rPr>
        <w:t>. 36 (1882)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Соната № 3 для с</w:t>
      </w:r>
      <w:r>
        <w:rPr>
          <w:rFonts w:ascii="Times New Roman" w:hAnsi="Times New Roman" w:cs="Times New Roman"/>
          <w:sz w:val="28"/>
          <w:szCs w:val="28"/>
        </w:rPr>
        <w:t xml:space="preserve">крипки и фортепиано до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bookmarkStart w:id="0" w:name="_GoBack"/>
      <w:bookmarkEnd w:id="0"/>
      <w:r w:rsidRPr="004E50B5">
        <w:rPr>
          <w:rFonts w:ascii="Times New Roman" w:hAnsi="Times New Roman" w:cs="Times New Roman"/>
          <w:sz w:val="28"/>
          <w:szCs w:val="28"/>
        </w:rPr>
        <w:t>. 45 (1886—1887)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 xml:space="preserve">Симфонические танцы, </w:t>
      </w:r>
      <w:proofErr w:type="gramStart"/>
      <w:r w:rsidRPr="004E50B5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4E50B5">
        <w:rPr>
          <w:rFonts w:ascii="Times New Roman" w:hAnsi="Times New Roman" w:cs="Times New Roman"/>
          <w:sz w:val="28"/>
          <w:szCs w:val="28"/>
        </w:rPr>
        <w:t>. 64 (1898)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  <w:r w:rsidRPr="004E50B5">
        <w:rPr>
          <w:rFonts w:ascii="Times New Roman" w:hAnsi="Times New Roman" w:cs="Times New Roman"/>
          <w:sz w:val="28"/>
          <w:szCs w:val="28"/>
        </w:rPr>
        <w:t>•</w:t>
      </w:r>
      <w:r w:rsidRPr="004E50B5">
        <w:rPr>
          <w:rFonts w:ascii="Times New Roman" w:hAnsi="Times New Roman" w:cs="Times New Roman"/>
          <w:sz w:val="28"/>
          <w:szCs w:val="28"/>
        </w:rPr>
        <w:tab/>
        <w:t>Песни и романсы для голоса с фортепиано (всего около 130), в том числе песни «Люблю тебя» (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Jeg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elsker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dig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5 № 4) и «Избушка» (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Hytten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0B5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0B5">
        <w:rPr>
          <w:rFonts w:ascii="Times New Roman" w:hAnsi="Times New Roman" w:cs="Times New Roman"/>
          <w:sz w:val="28"/>
          <w:szCs w:val="28"/>
        </w:rPr>
        <w:t>. 18 № 7; обе — на текст Х. К. Андерсена)</w:t>
      </w:r>
    </w:p>
    <w:p w:rsidR="004E50B5" w:rsidRPr="004E50B5" w:rsidRDefault="004E50B5" w:rsidP="004E50B5">
      <w:pPr>
        <w:rPr>
          <w:rFonts w:ascii="Times New Roman" w:hAnsi="Times New Roman" w:cs="Times New Roman"/>
          <w:sz w:val="28"/>
          <w:szCs w:val="28"/>
        </w:rPr>
      </w:pPr>
    </w:p>
    <w:sectPr w:rsidR="004E50B5" w:rsidRPr="004E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24"/>
    <w:multiLevelType w:val="multilevel"/>
    <w:tmpl w:val="E584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66B3"/>
    <w:multiLevelType w:val="multilevel"/>
    <w:tmpl w:val="646C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5C32"/>
    <w:multiLevelType w:val="multilevel"/>
    <w:tmpl w:val="6B2E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53A6"/>
    <w:multiLevelType w:val="multilevel"/>
    <w:tmpl w:val="BE5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0C1C"/>
    <w:multiLevelType w:val="multilevel"/>
    <w:tmpl w:val="5BF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A1888"/>
    <w:multiLevelType w:val="multilevel"/>
    <w:tmpl w:val="B56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B0BBC"/>
    <w:multiLevelType w:val="multilevel"/>
    <w:tmpl w:val="D9E8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07674"/>
    <w:multiLevelType w:val="multilevel"/>
    <w:tmpl w:val="095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B3591"/>
    <w:multiLevelType w:val="multilevel"/>
    <w:tmpl w:val="64B0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D23B2"/>
    <w:multiLevelType w:val="multilevel"/>
    <w:tmpl w:val="327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574BE"/>
    <w:multiLevelType w:val="multilevel"/>
    <w:tmpl w:val="E2C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B7E39"/>
    <w:multiLevelType w:val="multilevel"/>
    <w:tmpl w:val="4FA8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0"/>
    <w:rsid w:val="004929A0"/>
    <w:rsid w:val="004E50B5"/>
    <w:rsid w:val="009A4EB8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0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E50B5"/>
  </w:style>
  <w:style w:type="character" w:customStyle="1" w:styleId="mw-editsection">
    <w:name w:val="mw-editsection"/>
    <w:basedOn w:val="a0"/>
    <w:rsid w:val="004E50B5"/>
  </w:style>
  <w:style w:type="character" w:customStyle="1" w:styleId="mw-editsection-bracket">
    <w:name w:val="mw-editsection-bracket"/>
    <w:basedOn w:val="a0"/>
    <w:rsid w:val="004E50B5"/>
  </w:style>
  <w:style w:type="character" w:customStyle="1" w:styleId="mw-editsection-divider">
    <w:name w:val="mw-editsection-divider"/>
    <w:basedOn w:val="a0"/>
    <w:rsid w:val="004E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0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E50B5"/>
  </w:style>
  <w:style w:type="character" w:customStyle="1" w:styleId="mw-editsection">
    <w:name w:val="mw-editsection"/>
    <w:basedOn w:val="a0"/>
    <w:rsid w:val="004E50B5"/>
  </w:style>
  <w:style w:type="character" w:customStyle="1" w:styleId="mw-editsection-bracket">
    <w:name w:val="mw-editsection-bracket"/>
    <w:basedOn w:val="a0"/>
    <w:rsid w:val="004E50B5"/>
  </w:style>
  <w:style w:type="character" w:customStyle="1" w:styleId="mw-editsection-divider">
    <w:name w:val="mw-editsection-divider"/>
    <w:basedOn w:val="a0"/>
    <w:rsid w:val="004E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1189</Words>
  <Characters>6782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2020-04-07T10:37:00Z</dcterms:created>
  <dcterms:modified xsi:type="dcterms:W3CDTF">2020-04-07T10:41:00Z</dcterms:modified>
</cp:coreProperties>
</file>